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5231" w14:textId="405A35E6" w:rsidR="00025BE8" w:rsidRDefault="004127D9">
      <w:r>
        <w:rPr>
          <w:noProof/>
        </w:rPr>
        <mc:AlternateContent>
          <mc:Choice Requires="wps">
            <w:drawing>
              <wp:anchor distT="0" distB="0" distL="114300" distR="114300" simplePos="0" relativeHeight="251663360" behindDoc="0" locked="0" layoutInCell="1" allowOverlap="1" wp14:anchorId="1D4F14F8" wp14:editId="2BD9DA48">
                <wp:simplePos x="0" y="0"/>
                <wp:positionH relativeFrom="page">
                  <wp:posOffset>2225675</wp:posOffset>
                </wp:positionH>
                <wp:positionV relativeFrom="page">
                  <wp:posOffset>827405</wp:posOffset>
                </wp:positionV>
                <wp:extent cx="4859655" cy="788035"/>
                <wp:effectExtent l="0" t="0" r="17145" b="12065"/>
                <wp:wrapNone/>
                <wp:docPr id="4" name="Zone de texte 4"/>
                <wp:cNvGraphicFramePr/>
                <a:graphic xmlns:a="http://schemas.openxmlformats.org/drawingml/2006/main">
                  <a:graphicData uri="http://schemas.microsoft.com/office/word/2010/wordprocessingShape">
                    <wps:wsp>
                      <wps:cNvSpPr txBox="1"/>
                      <wps:spPr>
                        <a:xfrm>
                          <a:off x="0" y="0"/>
                          <a:ext cx="4859655" cy="7880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04E22" w14:textId="00D433C9"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 xml:space="preserve">OFFRE CONTRAT </w:t>
                            </w:r>
                            <w:r w:rsidR="00DC6BEC">
                              <w:rPr>
                                <w:rFonts w:ascii="Titillium" w:hAnsi="Titillium"/>
                                <w:b/>
                                <w:color w:val="1F497D" w:themeColor="text2"/>
                                <w:sz w:val="28"/>
                                <w:szCs w:val="20"/>
                              </w:rPr>
                              <w:t>D’APPRENTISSAGE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70A1B9DA" w:rsidR="001032F2" w:rsidRPr="00595E06" w:rsidRDefault="00DC6BEC" w:rsidP="001032F2">
                            <w:pPr>
                              <w:jc w:val="center"/>
                              <w:rPr>
                                <w:rFonts w:ascii="Titillium" w:hAnsi="Titillium"/>
                                <w:b/>
                                <w:color w:val="1F497D" w:themeColor="text2"/>
                                <w:sz w:val="30"/>
                                <w:szCs w:val="20"/>
                              </w:rPr>
                            </w:pPr>
                            <w:proofErr w:type="spellStart"/>
                            <w:r>
                              <w:rPr>
                                <w:rFonts w:ascii="Titillium" w:hAnsi="Titillium"/>
                                <w:b/>
                                <w:color w:val="1F497D" w:themeColor="text2"/>
                                <w:sz w:val="28"/>
                                <w:szCs w:val="20"/>
                              </w:rPr>
                              <w:t>Apprenti</w:t>
                            </w:r>
                            <w:r w:rsidR="004127D9" w:rsidRPr="00595E06">
                              <w:rPr>
                                <w:rFonts w:ascii="Titillium" w:hAnsi="Titillium"/>
                                <w:b/>
                                <w:color w:val="1F497D" w:themeColor="text2"/>
                                <w:sz w:val="28"/>
                                <w:szCs w:val="20"/>
                              </w:rPr>
                              <w:t>.e</w:t>
                            </w:r>
                            <w:proofErr w:type="spellEnd"/>
                            <w:r w:rsidR="004127D9" w:rsidRPr="00595E06">
                              <w:rPr>
                                <w:rFonts w:ascii="Titillium" w:hAnsi="Titillium"/>
                                <w:b/>
                                <w:color w:val="1F497D" w:themeColor="text2"/>
                                <w:sz w:val="28"/>
                                <w:szCs w:val="20"/>
                              </w:rPr>
                              <w:t xml:space="preserve"> Ingénieur </w:t>
                            </w:r>
                            <w:r w:rsidR="00CB6FC7">
                              <w:rPr>
                                <w:rFonts w:ascii="Titillium" w:hAnsi="Titillium"/>
                                <w:b/>
                                <w:color w:val="1F497D" w:themeColor="text2"/>
                                <w:sz w:val="28"/>
                                <w:szCs w:val="20"/>
                              </w:rPr>
                              <w:t>Analyste quantitatif</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75.25pt;margin-top:65.15pt;width:382.65pt;height:6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OtzAIAAM0FAAAOAAAAZHJzL2Uyb0RvYy54bWysVN1vmzAQf5+0/8HyO4WkkA9UUtEgpklV&#10;W62dKu3NMXaDBrZnOwnZtP99ZwNp1+2l017Mcf7d+e53HxeXXdugPdOmliLDk7MIIyaorGrxlOHP&#10;D2WwwMhYIirSSMEyfGQGX67ev7s4qJRN5VY2FdMInAiTHlSGt9aqNAwN3bKWmDOpmIBLLnVLLPzq&#10;p7DS5ADe2yacRtEsPEhdKS0pMwa0RX+JV94/54zaW84Ns6jJMMRm/an9uXFnuLog6ZMmalvTIQzy&#10;D1G0pBbw6MlVQSxBO13/4aqtqZZGcntGZRtKzmvKfA6QzSR6lc39lijmcwFyjDrRZP6fW3qzv9Oo&#10;rjIcYyRICyX6AoVCFUOWdZah2FF0UCYF5L0CrO2uZAelHvUGlC7zjuvWfSEnBPdA9vFEMHhCFJTx&#10;IlnOkgQjCnfzxSI6T5yb8NlaaWM/MNkiJ2RYQwE9r2R/bWwPHSHuMSHLuml8ERvxmwJ89hrmu6C3&#10;JilEAqJDuph8hX6UeT6dFedFUCyW8yDesGmwKKM4uMrjZLKez8tJMf/Zd8qz0TqZT/N5sgxmeTIJ&#10;4km0CPI8mgZFmUd5FJfrZXzljSCQ8dHQ8djz5SV7bJgLpRGfGIcieNqcwrc/Wzca7Qk0LqGUCesZ&#10;92kB2qE4pP4WwwHvk/ekvMW4p3F8WQp7Mm5rIbUv0quwq69jyLzHQ6Vf5O1E2226ob82sjpCe2nZ&#10;z6hRtKyhB66JsXdEw1BCR8Gisbdw8EYeMiwHCaOt1N//pnd4mBW4xegAQ55h821HNMOo+ShgitxG&#10;GAU9CptRELt2LYH+CawwRb0IBto2o8i1bB9h/+TuFbgigsJbGbajuLb9qoH9RVmeexDMvSL2Wtwr&#10;6ly7ariOfugeiVZD27vRu5Hj+JP0Vff3WGcpZL6zktd+NByhPYsD0bAz/HAN+80tpZf/HvW8hVe/&#10;AAAA//8DAFBLAwQUAAYACAAAACEAvJyI1+AAAAAMAQAADwAAAGRycy9kb3ducmV2LnhtbEyPwU7D&#10;MBBE70j8g7VI3KidpqkgxKkqBCckRBoOHJ14m1iN1yF22/D3uKdyXM3T7JtiM9uBnXDyxpGEZCGA&#10;IbVOG+okfNVvD4/AfFCk1eAIJfyih015e1OoXLszVXjahY7FEvK5ktCHMOac+7ZHq/zCjUgx27vJ&#10;qhDPqeN6UudYbge+FGLNrTIUP/RqxJce28PuaCVsv6l6NT8fzWe1r0xdPwl6Xx+kvL+bt8/AAs7h&#10;CsNFP6pDGZ0adyTt2SAhzUQW0RikIgV2IZIki2saCctstQJeFvz/iPIPAAD//wMAUEsBAi0AFAAG&#10;AAgAAAAhALaDOJL+AAAA4QEAABMAAAAAAAAAAAAAAAAAAAAAAFtDb250ZW50X1R5cGVzXS54bWxQ&#10;SwECLQAUAAYACAAAACEAOP0h/9YAAACUAQAACwAAAAAAAAAAAAAAAAAvAQAAX3JlbHMvLnJlbHNQ&#10;SwECLQAUAAYACAAAACEAk9QDrcwCAADNBQAADgAAAAAAAAAAAAAAAAAuAgAAZHJzL2Uyb0RvYy54&#10;bWxQSwECLQAUAAYACAAAACEAvJyI1+AAAAAMAQAADwAAAAAAAAAAAAAAAAAmBQAAZHJzL2Rvd25y&#10;ZXYueG1sUEsFBgAAAAAEAAQA8wAAADMGAAAAAA==&#10;" filled="f" stroked="f">
                <v:textbox inset="0,0,0,0">
                  <w:txbxContent>
                    <w:p w14:paraId="20904E22" w14:textId="00D433C9"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 xml:space="preserve">OFFRE CONTRAT </w:t>
                      </w:r>
                      <w:r w:rsidR="00DC6BEC">
                        <w:rPr>
                          <w:rFonts w:ascii="Titillium" w:hAnsi="Titillium"/>
                          <w:b/>
                          <w:color w:val="1F497D" w:themeColor="text2"/>
                          <w:sz w:val="28"/>
                          <w:szCs w:val="20"/>
                        </w:rPr>
                        <w:t>D’APPRENTISSAGE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70A1B9DA" w:rsidR="001032F2" w:rsidRPr="00595E06" w:rsidRDefault="00DC6BEC" w:rsidP="001032F2">
                      <w:pPr>
                        <w:jc w:val="center"/>
                        <w:rPr>
                          <w:rFonts w:ascii="Titillium" w:hAnsi="Titillium"/>
                          <w:b/>
                          <w:color w:val="1F497D" w:themeColor="text2"/>
                          <w:sz w:val="30"/>
                          <w:szCs w:val="20"/>
                        </w:rPr>
                      </w:pPr>
                      <w:proofErr w:type="spellStart"/>
                      <w:r>
                        <w:rPr>
                          <w:rFonts w:ascii="Titillium" w:hAnsi="Titillium"/>
                          <w:b/>
                          <w:color w:val="1F497D" w:themeColor="text2"/>
                          <w:sz w:val="28"/>
                          <w:szCs w:val="20"/>
                        </w:rPr>
                        <w:t>Apprenti</w:t>
                      </w:r>
                      <w:r w:rsidR="004127D9" w:rsidRPr="00595E06">
                        <w:rPr>
                          <w:rFonts w:ascii="Titillium" w:hAnsi="Titillium"/>
                          <w:b/>
                          <w:color w:val="1F497D" w:themeColor="text2"/>
                          <w:sz w:val="28"/>
                          <w:szCs w:val="20"/>
                        </w:rPr>
                        <w:t>.e</w:t>
                      </w:r>
                      <w:proofErr w:type="spellEnd"/>
                      <w:r w:rsidR="004127D9" w:rsidRPr="00595E06">
                        <w:rPr>
                          <w:rFonts w:ascii="Titillium" w:hAnsi="Titillium"/>
                          <w:b/>
                          <w:color w:val="1F497D" w:themeColor="text2"/>
                          <w:sz w:val="28"/>
                          <w:szCs w:val="20"/>
                        </w:rPr>
                        <w:t xml:space="preserve"> Ingénieur </w:t>
                      </w:r>
                      <w:r w:rsidR="00CB6FC7">
                        <w:rPr>
                          <w:rFonts w:ascii="Titillium" w:hAnsi="Titillium"/>
                          <w:b/>
                          <w:color w:val="1F497D" w:themeColor="text2"/>
                          <w:sz w:val="28"/>
                          <w:szCs w:val="20"/>
                        </w:rPr>
                        <w:t>Analyste quantitatif</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v:textbox>
                <w10:wrap anchorx="page" anchory="page"/>
              </v:shape>
            </w:pict>
          </mc:Fallback>
        </mc:AlternateContent>
      </w:r>
      <w:r w:rsidR="00B05037">
        <w:t xml:space="preserve"> </w:t>
      </w:r>
    </w:p>
    <w:p w14:paraId="67BF1BC9" w14:textId="77777777" w:rsidR="00025BE8" w:rsidRPr="00025BE8" w:rsidRDefault="00025BE8" w:rsidP="00025BE8"/>
    <w:p w14:paraId="0EE7EE51" w14:textId="77777777" w:rsidR="00025BE8" w:rsidRPr="00025BE8" w:rsidRDefault="00025BE8" w:rsidP="00025BE8"/>
    <w:p w14:paraId="24E2BEEB" w14:textId="77777777" w:rsidR="00025BE8" w:rsidRPr="00025BE8" w:rsidRDefault="00025BE8" w:rsidP="00025BE8"/>
    <w:p w14:paraId="3944E7FC" w14:textId="77777777" w:rsidR="00025BE8" w:rsidRPr="00025BE8" w:rsidRDefault="00025BE8" w:rsidP="00025BE8"/>
    <w:p w14:paraId="2C5A67B1" w14:textId="7C3B053F" w:rsidR="00025BE8" w:rsidRPr="00025BE8" w:rsidRDefault="00025BE8" w:rsidP="00025BE8"/>
    <w:p w14:paraId="141FC9F9" w14:textId="0F9B7481" w:rsidR="00787DD2" w:rsidRDefault="00CB6FC7" w:rsidP="00025BE8">
      <w:pPr>
        <w:rPr>
          <w:noProof/>
        </w:rPr>
      </w:pPr>
      <w:r>
        <w:rPr>
          <w:noProof/>
        </w:rPr>
        <w:drawing>
          <wp:anchor distT="0" distB="0" distL="114300" distR="114300" simplePos="0" relativeHeight="251671552" behindDoc="0" locked="0" layoutInCell="1" allowOverlap="1" wp14:anchorId="31197C08" wp14:editId="4B61F776">
            <wp:simplePos x="0" y="0"/>
            <wp:positionH relativeFrom="margin">
              <wp:posOffset>3257550</wp:posOffset>
            </wp:positionH>
            <wp:positionV relativeFrom="margin">
              <wp:posOffset>1198880</wp:posOffset>
            </wp:positionV>
            <wp:extent cx="2228850" cy="6762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28850" cy="676275"/>
                    </a:xfrm>
                    <a:prstGeom prst="rect">
                      <a:avLst/>
                    </a:prstGeom>
                  </pic:spPr>
                </pic:pic>
              </a:graphicData>
            </a:graphic>
          </wp:anchor>
        </w:drawing>
      </w:r>
    </w:p>
    <w:p w14:paraId="3A77F7D2" w14:textId="22941E84" w:rsidR="00025BE8" w:rsidRPr="00025BE8" w:rsidRDefault="00025BE8" w:rsidP="00025BE8"/>
    <w:p w14:paraId="4F34500F" w14:textId="374CD456" w:rsidR="00025BE8" w:rsidRPr="00025BE8" w:rsidRDefault="00025BE8" w:rsidP="00025BE8"/>
    <w:p w14:paraId="2D0246D5" w14:textId="24B00423" w:rsidR="00025BE8" w:rsidRPr="00025BE8" w:rsidRDefault="00025BE8" w:rsidP="00025BE8"/>
    <w:p w14:paraId="5A9E2497" w14:textId="77777777" w:rsidR="00025BE8" w:rsidRPr="00025BE8" w:rsidRDefault="00025BE8" w:rsidP="00025BE8"/>
    <w:p w14:paraId="7D161DA5" w14:textId="77777777" w:rsidR="00025BE8" w:rsidRPr="00025BE8" w:rsidRDefault="00025BE8" w:rsidP="00025BE8"/>
    <w:p w14:paraId="3C96464B" w14:textId="0B093394" w:rsidR="00025BE8" w:rsidRPr="00025BE8" w:rsidRDefault="00FB73A1" w:rsidP="00025BE8">
      <w:r>
        <w:rPr>
          <w:noProof/>
        </w:rPr>
        <mc:AlternateContent>
          <mc:Choice Requires="wps">
            <w:drawing>
              <wp:anchor distT="0" distB="0" distL="114300" distR="114300" simplePos="0" relativeHeight="251665408" behindDoc="0" locked="0" layoutInCell="1" allowOverlap="1" wp14:anchorId="2D5E4861" wp14:editId="794FF294">
                <wp:simplePos x="0" y="0"/>
                <wp:positionH relativeFrom="page">
                  <wp:posOffset>2338705</wp:posOffset>
                </wp:positionH>
                <wp:positionV relativeFrom="page">
                  <wp:posOffset>2579011</wp:posOffset>
                </wp:positionV>
                <wp:extent cx="4859655" cy="834390"/>
                <wp:effectExtent l="19050" t="19050" r="17145" b="22860"/>
                <wp:wrapNone/>
                <wp:docPr id="5" name="Zone de texte 5"/>
                <wp:cNvGraphicFramePr/>
                <a:graphic xmlns:a="http://schemas.openxmlformats.org/drawingml/2006/main">
                  <a:graphicData uri="http://schemas.microsoft.com/office/word/2010/wordprocessingShape">
                    <wps:wsp>
                      <wps:cNvSpPr txBox="1"/>
                      <wps:spPr>
                        <a:xfrm>
                          <a:off x="0" y="0"/>
                          <a:ext cx="4859655" cy="834390"/>
                        </a:xfrm>
                        <a:prstGeom prst="rect">
                          <a:avLst/>
                        </a:prstGeom>
                        <a:noFill/>
                        <a:ln w="28575">
                          <a:solidFill>
                            <a:srgbClr val="FFC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3EC94E" w14:textId="3492E07E"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CB6FC7">
                              <w:rPr>
                                <w:rFonts w:ascii="Titillium" w:hAnsi="Titillium"/>
                                <w:sz w:val="20"/>
                                <w:szCs w:val="20"/>
                              </w:rPr>
                              <w:t>AVIVA INVESTORS FRANCE</w:t>
                            </w:r>
                          </w:p>
                          <w:p w14:paraId="48A221CD" w14:textId="1C76F428"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DC6BEC">
                              <w:rPr>
                                <w:rFonts w:ascii="Titillium" w:hAnsi="Titillium"/>
                                <w:sz w:val="20"/>
                                <w:szCs w:val="20"/>
                              </w:rPr>
                              <w:t>3 ans</w:t>
                            </w:r>
                          </w:p>
                          <w:p w14:paraId="30FE9334" w14:textId="2550632F"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CB6FC7">
                              <w:rPr>
                                <w:rFonts w:ascii="Titillium" w:hAnsi="Titillium"/>
                                <w:sz w:val="20"/>
                                <w:szCs w:val="20"/>
                              </w:rPr>
                              <w:t>Paris - 08</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9"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184.15pt;margin-top:203.05pt;width:382.6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6wIAAAcGAAAOAAAAZHJzL2Uyb0RvYy54bWysVFtv0zAUfkfiP1h+z5J2SW9aOmWtgpCm&#10;bWJDk3hzHbuNcGxju20K4r9z7DRdGbwM8eKc2N+5fedydd02Au2YsbWSOR5cJBgxSVVVy3WOPz+V&#10;0QQj64isiFCS5fjALL6ev393tdczNlQbJSpmEBiRdrbXOd44p2dxbOmGNcReKM0kPHJlGuLg16zj&#10;ypA9WG9EPEySUbxXptJGUWYt3C67RzwP9jln1N1zbplDIscQmwunCefKn/H8iszWhuhNTY9hkH+I&#10;oiG1BKcnU0viCNqa+g9TTU2Nsoq7C6qaWHFeUxZygGwGyatsHjdEs5ALkGP1iSb7/8zSu92DQXWV&#10;4wwjSRoo0RcoFKoYcqx1DGWeor22M0A+asC69ka1UOr+3sKlz7zlpvFfyAnBO5B9OBEMlhCFy3SS&#10;TUcZeKLwNrlML6ehAvGLtjbWfWCqQV7IsYECBl7J7tY6iASgPcQ7k6qshQhFFBLtczycZOMsaFgl&#10;6sq/epw169VCGLQj0AdluUiS3vEZDGwL6dEsNE7nEP5aB2K4hzRCUX+URTEcLS+X0XIyHUfpig2j&#10;SZmk0U2RZoPFeFwOluOfXXP53DulRTYeFuNsGo2KbBClg2QSFUUyjJZlkRRJWi6m6U1QgkB6p7Gn&#10;vqM4SO4gmA9FyE+MQ90C0yFDPzHslCOhlEkXihTSArRHceDjLYpHfEg+kPIW5Y7G3rOS7qTc1FKZ&#10;rkq/h1197UPmHR4qfpa3F127akPDnjpwpaoDNKZR3XRbTcsauueWWPdADIwz9CKsKHcPBxcKukQd&#10;JYw2ynz/273Hw5TBK0Z7WA85tt+2xDCMxEcJ8+d3SS+YXlj1gtw2CwWdNoDlp2kQQcE40YvcqOYZ&#10;NlfhvcATkRR85dj14sJ1Swo2H2VFEUCwMTRxt/JRU2/aF8XPwlP7TIw+Dowf2jvVLw4yezU3HdZr&#10;SlVsneJ1GCrPa8fikW/YNmHWjpvRr7Pz/4B62d/zXwAAAP//AwBQSwMEFAAGAAgAAAAhANykb67g&#10;AAAADAEAAA8AAABkcnMvZG93bnJldi54bWxMj0FLxDAQhe+C/yGM4M1Nu3HrUpsuIrgg6MFV95wm&#10;Y1NsJqXJtvXfmz3pcXgf731T7RbXswnH0HmSkK8yYEjam45aCR/vTzdbYCEqMqr3hBJ+MMCuvryo&#10;VGn8TG84HWLLUgmFUkmwMQ4l50FbdCqs/ICUsi8/OhXTObbcjGpO5a7n6ywruFMdpQWrBny0qL8P&#10;JydB6dfGB03P3H1aN+1f1vP+eJTy+mp5uAcWcYl/MJz1kzrUyanxJzKB9RJEsRUJlXCbFTmwM5EL&#10;UQBrJGzE3QZ4XfH/T9S/AAAA//8DAFBLAQItABQABgAIAAAAIQC2gziS/gAAAOEBAAATAAAAAAAA&#10;AAAAAAAAAAAAAABbQ29udGVudF9UeXBlc10ueG1sUEsBAi0AFAAGAAgAAAAhADj9If/WAAAAlAEA&#10;AAsAAAAAAAAAAAAAAAAALwEAAF9yZWxzLy5yZWxzUEsBAi0AFAAGAAgAAAAhAH+hkv/rAgAABwYA&#10;AA4AAAAAAAAAAAAAAAAALgIAAGRycy9lMm9Eb2MueG1sUEsBAi0AFAAGAAgAAAAhANykb67gAAAA&#10;DAEAAA8AAAAAAAAAAAAAAAAARQUAAGRycy9kb3ducmV2LnhtbFBLBQYAAAAABAAEAPMAAABSBgAA&#10;AAA=&#10;" filled="f" strokecolor="#ffc000" strokeweight="2.25pt">
                <v:textbox inset="0,0,0,0">
                  <w:txbxContent>
                    <w:p w14:paraId="003EC94E" w14:textId="3492E07E"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CB6FC7">
                        <w:rPr>
                          <w:rFonts w:ascii="Titillium" w:hAnsi="Titillium"/>
                          <w:sz w:val="20"/>
                          <w:szCs w:val="20"/>
                        </w:rPr>
                        <w:t>AVIVA INVESTORS FRANCE</w:t>
                      </w:r>
                    </w:p>
                    <w:p w14:paraId="48A221CD" w14:textId="1C76F428"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DC6BEC">
                        <w:rPr>
                          <w:rFonts w:ascii="Titillium" w:hAnsi="Titillium"/>
                          <w:sz w:val="20"/>
                          <w:szCs w:val="20"/>
                        </w:rPr>
                        <w:t>3 ans</w:t>
                      </w:r>
                    </w:p>
                    <w:p w14:paraId="30FE9334" w14:textId="2550632F"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CB6FC7">
                        <w:rPr>
                          <w:rFonts w:ascii="Titillium" w:hAnsi="Titillium"/>
                          <w:sz w:val="20"/>
                          <w:szCs w:val="20"/>
                        </w:rPr>
                        <w:t>Paris - 08</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0"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v:textbox>
                <w10:wrap anchorx="page" anchory="page"/>
              </v:shape>
            </w:pict>
          </mc:Fallback>
        </mc:AlternateContent>
      </w:r>
    </w:p>
    <w:p w14:paraId="451900D4" w14:textId="77777777" w:rsidR="00025BE8" w:rsidRPr="00025BE8" w:rsidRDefault="00025BE8" w:rsidP="00025BE8"/>
    <w:p w14:paraId="4C926A99" w14:textId="77777777" w:rsidR="00025BE8" w:rsidRPr="00025BE8" w:rsidRDefault="00025BE8" w:rsidP="00025BE8"/>
    <w:p w14:paraId="12289991" w14:textId="77777777" w:rsidR="00025BE8" w:rsidRPr="00025BE8" w:rsidRDefault="00025BE8" w:rsidP="00025BE8"/>
    <w:p w14:paraId="768F6BE3" w14:textId="5C0D6133" w:rsidR="00025BE8" w:rsidRPr="00025BE8" w:rsidRDefault="00025BE8" w:rsidP="00025BE8"/>
    <w:p w14:paraId="410B8449" w14:textId="0856B779" w:rsidR="00025BE8" w:rsidRPr="00025BE8" w:rsidRDefault="00523DE1" w:rsidP="00025BE8">
      <w:r>
        <w:rPr>
          <w:noProof/>
        </w:rPr>
        <mc:AlternateContent>
          <mc:Choice Requires="wps">
            <w:drawing>
              <wp:anchor distT="0" distB="0" distL="114300" distR="114300" simplePos="0" relativeHeight="251667456" behindDoc="0" locked="0" layoutInCell="1" allowOverlap="1" wp14:anchorId="2B4CB3F7" wp14:editId="669A7041">
                <wp:simplePos x="0" y="0"/>
                <wp:positionH relativeFrom="page">
                  <wp:posOffset>2338705</wp:posOffset>
                </wp:positionH>
                <wp:positionV relativeFrom="page">
                  <wp:posOffset>3710305</wp:posOffset>
                </wp:positionV>
                <wp:extent cx="4859655" cy="6811010"/>
                <wp:effectExtent l="0" t="0" r="17145" b="8890"/>
                <wp:wrapNone/>
                <wp:docPr id="7" name="Zone de texte 7"/>
                <wp:cNvGraphicFramePr/>
                <a:graphic xmlns:a="http://schemas.openxmlformats.org/drawingml/2006/main">
                  <a:graphicData uri="http://schemas.microsoft.com/office/word/2010/wordprocessingShape">
                    <wps:wsp>
                      <wps:cNvSpPr txBox="1"/>
                      <wps:spPr>
                        <a:xfrm>
                          <a:off x="0" y="0"/>
                          <a:ext cx="4859655" cy="68110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9CED9D" w14:textId="77777777" w:rsidR="00CB6FC7" w:rsidRPr="00CB6FC7" w:rsidRDefault="00CB6FC7" w:rsidP="00CB6FC7">
                            <w:pPr>
                              <w:spacing w:before="100" w:beforeAutospacing="1" w:after="100" w:afterAutospacing="1"/>
                              <w:rPr>
                                <w:rFonts w:ascii="Titillium" w:hAnsi="Titillium"/>
                                <w:sz w:val="20"/>
                                <w:szCs w:val="20"/>
                              </w:rPr>
                            </w:pPr>
                            <w:r w:rsidRPr="00CB6FC7">
                              <w:rPr>
                                <w:rFonts w:ascii="Titillium" w:hAnsi="Titillium"/>
                                <w:sz w:val="20"/>
                                <w:szCs w:val="20"/>
                              </w:rPr>
                              <w:t xml:space="preserve">Aviva </w:t>
                            </w:r>
                            <w:proofErr w:type="spellStart"/>
                            <w:r w:rsidRPr="00CB6FC7">
                              <w:rPr>
                                <w:rFonts w:ascii="Titillium" w:hAnsi="Titillium"/>
                                <w:sz w:val="20"/>
                                <w:szCs w:val="20"/>
                              </w:rPr>
                              <w:t>Investors</w:t>
                            </w:r>
                            <w:proofErr w:type="spellEnd"/>
                            <w:r w:rsidRPr="00CB6FC7">
                              <w:rPr>
                                <w:rFonts w:ascii="Titillium" w:hAnsi="Titillium"/>
                                <w:sz w:val="20"/>
                                <w:szCs w:val="20"/>
                              </w:rPr>
                              <w:t xml:space="preserve"> est la dénomination commerciale de la branche de gestion d’actifs du groupe Aviva, l’un des plus importants assureurs mondiaux.  Représentée dans quinze pays et comptant plus de 1000 salariés, Aviva </w:t>
                            </w:r>
                            <w:proofErr w:type="spellStart"/>
                            <w:r w:rsidRPr="00CB6FC7">
                              <w:rPr>
                                <w:rFonts w:ascii="Titillium" w:hAnsi="Titillium"/>
                                <w:sz w:val="20"/>
                                <w:szCs w:val="20"/>
                              </w:rPr>
                              <w:t>Investors</w:t>
                            </w:r>
                            <w:proofErr w:type="spellEnd"/>
                            <w:r w:rsidRPr="00CB6FC7">
                              <w:rPr>
                                <w:rFonts w:ascii="Titillium" w:hAnsi="Titillium"/>
                                <w:sz w:val="20"/>
                                <w:szCs w:val="20"/>
                              </w:rPr>
                              <w:t xml:space="preserve"> gère plus de 403 mds d'€ d'actifs au 31/12/2016 sur une large gamme de produits et de solutions d’investissement. Aviva </w:t>
                            </w:r>
                            <w:proofErr w:type="spellStart"/>
                            <w:r w:rsidRPr="00CB6FC7">
                              <w:rPr>
                                <w:rFonts w:ascii="Titillium" w:hAnsi="Titillium"/>
                                <w:sz w:val="20"/>
                                <w:szCs w:val="20"/>
                              </w:rPr>
                              <w:t>Investors</w:t>
                            </w:r>
                            <w:proofErr w:type="spellEnd"/>
                            <w:r w:rsidRPr="00CB6FC7">
                              <w:rPr>
                                <w:rFonts w:ascii="Titillium" w:hAnsi="Titillium"/>
                                <w:sz w:val="20"/>
                                <w:szCs w:val="20"/>
                              </w:rPr>
                              <w:t xml:space="preserve"> offre les avantages d’une dimension internationale combinée à des savoir-faire locaux. Cette organisation nous permet d’exploiter au maximum les opportunités locales pour en faire bénéficier nos clients, au travers de performances d’investissement solides et de produits innovants. Les équipes locales s’appuient sur des services de qualité fournis par des équipes globales basées dans le monde entier et composées de professionnels expérimentés. </w:t>
                            </w:r>
                          </w:p>
                          <w:p w14:paraId="2354851E" w14:textId="77777777" w:rsidR="00CB6FC7" w:rsidRPr="00CB6FC7" w:rsidRDefault="00CB6FC7" w:rsidP="00CB6FC7">
                            <w:pPr>
                              <w:spacing w:before="100" w:beforeAutospacing="1" w:after="100" w:afterAutospacing="1"/>
                              <w:rPr>
                                <w:rFonts w:ascii="Titillium" w:hAnsi="Titillium"/>
                                <w:sz w:val="20"/>
                                <w:szCs w:val="20"/>
                              </w:rPr>
                            </w:pPr>
                            <w:r w:rsidRPr="00CB6FC7">
                              <w:rPr>
                                <w:rFonts w:ascii="Titillium" w:hAnsi="Titillium"/>
                                <w:sz w:val="20"/>
                                <w:szCs w:val="20"/>
                              </w:rPr>
                              <w:t xml:space="preserve">A Paris, avec plus de 104 Mds € d'actifs gérés au 31/12/2016, Aviva </w:t>
                            </w:r>
                            <w:proofErr w:type="spellStart"/>
                            <w:r w:rsidRPr="00CB6FC7">
                              <w:rPr>
                                <w:rFonts w:ascii="Titillium" w:hAnsi="Titillium"/>
                                <w:sz w:val="20"/>
                                <w:szCs w:val="20"/>
                              </w:rPr>
                              <w:t>Investors</w:t>
                            </w:r>
                            <w:proofErr w:type="spellEnd"/>
                            <w:r w:rsidRPr="00CB6FC7">
                              <w:rPr>
                                <w:rFonts w:ascii="Titillium" w:hAnsi="Titillium"/>
                                <w:sz w:val="20"/>
                                <w:szCs w:val="20"/>
                              </w:rPr>
                              <w:t xml:space="preserve"> France se place parmi les dix premières sociétés de gestion d'actifs françaises en termes d'encours sous gestion, Nous proposons à nos clients des expertises variées en gestion obligataire, gestion monétaire, gestion diversifiée et gestion actions au travers de produits innovants et de solutions sur mesure.</w:t>
                            </w:r>
                          </w:p>
                          <w:p w14:paraId="5C84A959" w14:textId="4D0F0268" w:rsidR="00CB6FC7" w:rsidRPr="00CB6FC7" w:rsidRDefault="00CB6FC7" w:rsidP="00CB6FC7">
                            <w:pPr>
                              <w:spacing w:before="100" w:beforeAutospacing="1" w:after="100" w:afterAutospacing="1"/>
                              <w:rPr>
                                <w:rFonts w:ascii="Titillium" w:hAnsi="Titillium"/>
                                <w:i/>
                                <w:sz w:val="18"/>
                                <w:szCs w:val="20"/>
                              </w:rPr>
                            </w:pPr>
                            <w:r w:rsidRPr="00CB6FC7">
                              <w:rPr>
                                <w:rFonts w:ascii="Times New Roman" w:eastAsia="Times New Roman" w:hAnsi="Times New Roman" w:cs="Times New Roman"/>
                                <w:i/>
                                <w:sz w:val="22"/>
                              </w:rPr>
                              <w:t> </w:t>
                            </w:r>
                            <w:r w:rsidRPr="00CB6FC7">
                              <w:rPr>
                                <w:rFonts w:ascii="Titillium" w:hAnsi="Titillium"/>
                                <w:i/>
                                <w:sz w:val="18"/>
                                <w:szCs w:val="20"/>
                              </w:rPr>
                              <w:t>*Classement Europerformance au 31/12/2016</w:t>
                            </w:r>
                          </w:p>
                          <w:p w14:paraId="53DC372E" w14:textId="77777777" w:rsidR="00CB6FC7" w:rsidRDefault="00CB6FC7" w:rsidP="00F6124C">
                            <w:pPr>
                              <w:rPr>
                                <w:rFonts w:ascii="Titillium" w:hAnsi="Titillium"/>
                                <w:b/>
                                <w:color w:val="FFC000"/>
                                <w:sz w:val="20"/>
                                <w:szCs w:val="20"/>
                              </w:rPr>
                            </w:pPr>
                          </w:p>
                          <w:p w14:paraId="643F1F1C" w14:textId="77777777" w:rsidR="00F6124C" w:rsidRDefault="00F6124C" w:rsidP="00F6124C">
                            <w:pPr>
                              <w:rPr>
                                <w:rFonts w:ascii="Titillium" w:hAnsi="Titillium"/>
                                <w:b/>
                                <w:color w:val="FFC000"/>
                                <w:sz w:val="20"/>
                                <w:szCs w:val="20"/>
                              </w:rPr>
                            </w:pPr>
                            <w:r w:rsidRPr="00F6124C">
                              <w:rPr>
                                <w:rFonts w:ascii="Titillium" w:hAnsi="Titillium"/>
                                <w:b/>
                                <w:color w:val="FFC000"/>
                                <w:sz w:val="20"/>
                                <w:szCs w:val="20"/>
                              </w:rPr>
                              <w:t>Missions</w:t>
                            </w:r>
                            <w:r w:rsidRPr="00F6124C">
                              <w:rPr>
                                <w:rFonts w:ascii="Courier New" w:hAnsi="Courier New" w:cs="Courier New"/>
                                <w:b/>
                                <w:color w:val="FFC000"/>
                                <w:sz w:val="20"/>
                                <w:szCs w:val="20"/>
                              </w:rPr>
                              <w:t> </w:t>
                            </w:r>
                            <w:r w:rsidRPr="00F6124C">
                              <w:rPr>
                                <w:rFonts w:ascii="Titillium" w:hAnsi="Titillium"/>
                                <w:b/>
                                <w:color w:val="FFC000"/>
                                <w:sz w:val="20"/>
                                <w:szCs w:val="20"/>
                              </w:rPr>
                              <w:t>:</w:t>
                            </w:r>
                          </w:p>
                          <w:p w14:paraId="423DD307" w14:textId="77777777" w:rsidR="00CB6FC7" w:rsidRDefault="00CB6FC7" w:rsidP="00F6124C">
                            <w:pPr>
                              <w:rPr>
                                <w:rFonts w:ascii="Titillium" w:hAnsi="Titillium"/>
                                <w:b/>
                                <w:color w:val="FFC000"/>
                                <w:sz w:val="20"/>
                                <w:szCs w:val="20"/>
                              </w:rPr>
                            </w:pPr>
                          </w:p>
                          <w:p w14:paraId="5A324031" w14:textId="77777777" w:rsidR="00CB6FC7" w:rsidRDefault="00CB6FC7" w:rsidP="00CB6FC7">
                            <w:pPr>
                              <w:rPr>
                                <w:rFonts w:ascii="Titillium" w:hAnsi="Titillium"/>
                                <w:sz w:val="20"/>
                                <w:szCs w:val="20"/>
                              </w:rPr>
                            </w:pPr>
                            <w:r w:rsidRPr="00CB6FC7">
                              <w:rPr>
                                <w:rFonts w:ascii="Titillium" w:hAnsi="Titillium"/>
                                <w:sz w:val="20"/>
                                <w:szCs w:val="20"/>
                              </w:rPr>
                              <w:t>Au sein du département Opérations, l’équipe Analyse Quantitative Opérations a pour mission principale la valorisation et la contre-valorisation des instruments financiers.</w:t>
                            </w:r>
                          </w:p>
                          <w:p w14:paraId="4F0F77A0" w14:textId="7883D28F" w:rsidR="00CB6FC7" w:rsidRDefault="00CB6FC7" w:rsidP="00CB6FC7">
                            <w:pPr>
                              <w:pStyle w:val="Paragraphedeliste"/>
                              <w:numPr>
                                <w:ilvl w:val="0"/>
                                <w:numId w:val="22"/>
                              </w:numPr>
                              <w:rPr>
                                <w:rFonts w:ascii="Titillium" w:hAnsi="Titillium"/>
                                <w:sz w:val="20"/>
                                <w:szCs w:val="20"/>
                              </w:rPr>
                            </w:pPr>
                            <w:r w:rsidRPr="00CB6FC7">
                              <w:rPr>
                                <w:rFonts w:ascii="Titillium" w:hAnsi="Titillium"/>
                                <w:sz w:val="20"/>
                                <w:szCs w:val="20"/>
                              </w:rPr>
                              <w:t>Développement d’une application interne pour la valorisation des instruments financi</w:t>
                            </w:r>
                            <w:r>
                              <w:rPr>
                                <w:rFonts w:ascii="Titillium" w:hAnsi="Titillium"/>
                                <w:sz w:val="20"/>
                                <w:szCs w:val="20"/>
                              </w:rPr>
                              <w:t>ers et support aux utilisateurs.</w:t>
                            </w:r>
                          </w:p>
                          <w:p w14:paraId="2C1E5BC5" w14:textId="7431B274" w:rsidR="00CB6FC7" w:rsidRDefault="00CB6FC7" w:rsidP="00CB6FC7">
                            <w:pPr>
                              <w:pStyle w:val="Paragraphedeliste"/>
                              <w:numPr>
                                <w:ilvl w:val="0"/>
                                <w:numId w:val="22"/>
                              </w:numPr>
                              <w:rPr>
                                <w:rFonts w:ascii="Titillium" w:hAnsi="Titillium"/>
                                <w:sz w:val="20"/>
                                <w:szCs w:val="20"/>
                              </w:rPr>
                            </w:pPr>
                            <w:r w:rsidRPr="00CB6FC7">
                              <w:rPr>
                                <w:rFonts w:ascii="Titillium" w:hAnsi="Titillium"/>
                                <w:sz w:val="20"/>
                                <w:szCs w:val="20"/>
                              </w:rPr>
                              <w:t>Contrôle des données d</w:t>
                            </w:r>
                            <w:r>
                              <w:rPr>
                                <w:rFonts w:ascii="Titillium" w:hAnsi="Titillium"/>
                                <w:sz w:val="20"/>
                                <w:szCs w:val="20"/>
                              </w:rPr>
                              <w:t>e marchés et des valorisations.</w:t>
                            </w:r>
                          </w:p>
                          <w:p w14:paraId="778FFF05" w14:textId="77777777" w:rsidR="00CB6FC7" w:rsidRDefault="00CB6FC7" w:rsidP="00CB6FC7">
                            <w:pPr>
                              <w:pStyle w:val="Paragraphedeliste"/>
                              <w:numPr>
                                <w:ilvl w:val="0"/>
                                <w:numId w:val="22"/>
                              </w:numPr>
                              <w:rPr>
                                <w:rFonts w:ascii="Titillium" w:hAnsi="Titillium"/>
                                <w:sz w:val="20"/>
                                <w:szCs w:val="20"/>
                              </w:rPr>
                            </w:pPr>
                            <w:r w:rsidRPr="00CB6FC7">
                              <w:rPr>
                                <w:rFonts w:ascii="Titillium" w:hAnsi="Titillium"/>
                                <w:sz w:val="20"/>
                                <w:szCs w:val="20"/>
                              </w:rPr>
                              <w:t>R&amp;D concernant les différentes</w:t>
                            </w:r>
                            <w:r>
                              <w:rPr>
                                <w:rFonts w:ascii="Titillium" w:hAnsi="Titillium"/>
                                <w:sz w:val="20"/>
                                <w:szCs w:val="20"/>
                              </w:rPr>
                              <w:t xml:space="preserve"> méthodologies de valorisation.</w:t>
                            </w:r>
                          </w:p>
                          <w:p w14:paraId="5D638703" w14:textId="77777777" w:rsidR="00CB6FC7" w:rsidRDefault="00CB6FC7" w:rsidP="00CB6FC7">
                            <w:pPr>
                              <w:pStyle w:val="Paragraphedeliste"/>
                              <w:numPr>
                                <w:ilvl w:val="0"/>
                                <w:numId w:val="22"/>
                              </w:numPr>
                              <w:rPr>
                                <w:rFonts w:ascii="Titillium" w:hAnsi="Titillium"/>
                                <w:sz w:val="20"/>
                                <w:szCs w:val="20"/>
                              </w:rPr>
                            </w:pPr>
                            <w:r w:rsidRPr="00CB6FC7">
                              <w:rPr>
                                <w:rFonts w:ascii="Titillium" w:hAnsi="Titillium"/>
                                <w:sz w:val="20"/>
                                <w:szCs w:val="20"/>
                              </w:rPr>
                              <w:t>Rédaction de notes méthodologiques, des rapports de contrôle et des réponses aux audi</w:t>
                            </w:r>
                            <w:r>
                              <w:rPr>
                                <w:rFonts w:ascii="Titillium" w:hAnsi="Titillium"/>
                                <w:sz w:val="20"/>
                                <w:szCs w:val="20"/>
                              </w:rPr>
                              <w:t>teurs externes (CAC, AMF, etc.).</w:t>
                            </w:r>
                          </w:p>
                          <w:p w14:paraId="7B1F7815" w14:textId="77777777" w:rsidR="00CB6FC7" w:rsidRDefault="00CB6FC7" w:rsidP="00CB6FC7">
                            <w:pPr>
                              <w:rPr>
                                <w:rFonts w:ascii="Titillium" w:hAnsi="Titillium"/>
                                <w:sz w:val="20"/>
                                <w:szCs w:val="20"/>
                              </w:rPr>
                            </w:pPr>
                          </w:p>
                          <w:p w14:paraId="491A3E36" w14:textId="77777777" w:rsidR="00CB6FC7" w:rsidRDefault="00CB6FC7" w:rsidP="00CB6FC7">
                            <w:pPr>
                              <w:rPr>
                                <w:rFonts w:ascii="Titillium" w:hAnsi="Titillium"/>
                                <w:sz w:val="20"/>
                                <w:szCs w:val="20"/>
                              </w:rPr>
                            </w:pPr>
                            <w:r>
                              <w:rPr>
                                <w:rFonts w:ascii="Titillium" w:hAnsi="Titillium"/>
                                <w:sz w:val="20"/>
                                <w:szCs w:val="20"/>
                              </w:rPr>
                              <w:t>L’</w:t>
                            </w:r>
                            <w:proofErr w:type="spellStart"/>
                            <w:r>
                              <w:rPr>
                                <w:rFonts w:ascii="Titillium" w:hAnsi="Titillium"/>
                                <w:sz w:val="20"/>
                                <w:szCs w:val="20"/>
                              </w:rPr>
                              <w:t>apprenti.e</w:t>
                            </w:r>
                            <w:proofErr w:type="spellEnd"/>
                            <w:r w:rsidRPr="00CB6FC7">
                              <w:rPr>
                                <w:rFonts w:ascii="Titillium" w:hAnsi="Titillium"/>
                                <w:sz w:val="20"/>
                                <w:szCs w:val="20"/>
                              </w:rPr>
                              <w:t xml:space="preserve"> sera </w:t>
                            </w:r>
                            <w:proofErr w:type="spellStart"/>
                            <w:r w:rsidRPr="00CB6FC7">
                              <w:rPr>
                                <w:rFonts w:ascii="Titillium" w:hAnsi="Titillium"/>
                                <w:sz w:val="20"/>
                                <w:szCs w:val="20"/>
                              </w:rPr>
                              <w:t>amené</w:t>
                            </w:r>
                            <w:r>
                              <w:rPr>
                                <w:rFonts w:ascii="Titillium" w:hAnsi="Titillium"/>
                                <w:sz w:val="20"/>
                                <w:szCs w:val="20"/>
                              </w:rPr>
                              <w:t>.e</w:t>
                            </w:r>
                            <w:proofErr w:type="spellEnd"/>
                            <w:r w:rsidRPr="00CB6FC7">
                              <w:rPr>
                                <w:rFonts w:ascii="Titillium" w:hAnsi="Titillium"/>
                                <w:sz w:val="20"/>
                                <w:szCs w:val="20"/>
                              </w:rPr>
                              <w:t xml:space="preserve"> à travailler sur différents sujets : </w:t>
                            </w:r>
                          </w:p>
                          <w:p w14:paraId="02B7B945" w14:textId="042CD7C1" w:rsidR="00CB6FC7" w:rsidRDefault="00CB6FC7" w:rsidP="00CB6FC7">
                            <w:pPr>
                              <w:pStyle w:val="Paragraphedeliste"/>
                              <w:numPr>
                                <w:ilvl w:val="0"/>
                                <w:numId w:val="23"/>
                              </w:numPr>
                              <w:rPr>
                                <w:rFonts w:ascii="Titillium" w:hAnsi="Titillium"/>
                                <w:sz w:val="20"/>
                                <w:szCs w:val="20"/>
                              </w:rPr>
                            </w:pPr>
                            <w:r w:rsidRPr="00CB6FC7">
                              <w:rPr>
                                <w:rFonts w:ascii="Titillium" w:hAnsi="Titillium"/>
                                <w:sz w:val="20"/>
                                <w:szCs w:val="20"/>
                              </w:rPr>
                              <w:t>Mathématiques financières (calcul stochastique, équations aux dérivées partie</w:t>
                            </w:r>
                            <w:r>
                              <w:rPr>
                                <w:rFonts w:ascii="Titillium" w:hAnsi="Titillium"/>
                                <w:sz w:val="20"/>
                                <w:szCs w:val="20"/>
                              </w:rPr>
                              <w:t>lles, méthodes de Monte-Carlo).</w:t>
                            </w:r>
                          </w:p>
                          <w:p w14:paraId="27731E52" w14:textId="475DBCD6" w:rsidR="00CB6FC7" w:rsidRDefault="00CB6FC7" w:rsidP="00CB6FC7">
                            <w:pPr>
                              <w:pStyle w:val="Paragraphedeliste"/>
                              <w:numPr>
                                <w:ilvl w:val="0"/>
                                <w:numId w:val="23"/>
                              </w:numPr>
                              <w:rPr>
                                <w:rFonts w:ascii="Titillium" w:hAnsi="Titillium"/>
                                <w:sz w:val="20"/>
                                <w:szCs w:val="20"/>
                              </w:rPr>
                            </w:pPr>
                            <w:r w:rsidRPr="00CB6FC7">
                              <w:rPr>
                                <w:rFonts w:ascii="Titillium" w:hAnsi="Titillium"/>
                                <w:sz w:val="20"/>
                                <w:szCs w:val="20"/>
                              </w:rPr>
                              <w:t>Instruments financiers (instruments de taux, instruments dérivés act</w:t>
                            </w:r>
                            <w:r>
                              <w:rPr>
                                <w:rFonts w:ascii="Titillium" w:hAnsi="Titillium"/>
                                <w:sz w:val="20"/>
                                <w:szCs w:val="20"/>
                              </w:rPr>
                              <w:t>ion, crédit, taux et inflation).</w:t>
                            </w:r>
                          </w:p>
                          <w:p w14:paraId="478BFE2B" w14:textId="065EF6C0" w:rsidR="00CB6FC7" w:rsidRPr="00CB6FC7" w:rsidRDefault="00CB6FC7" w:rsidP="00CB6FC7">
                            <w:pPr>
                              <w:pStyle w:val="Paragraphedeliste"/>
                              <w:numPr>
                                <w:ilvl w:val="0"/>
                                <w:numId w:val="23"/>
                              </w:numPr>
                              <w:rPr>
                                <w:rFonts w:ascii="Titillium" w:hAnsi="Titillium"/>
                                <w:sz w:val="20"/>
                                <w:szCs w:val="20"/>
                              </w:rPr>
                            </w:pPr>
                            <w:r w:rsidRPr="00CB6FC7">
                              <w:rPr>
                                <w:rFonts w:ascii="Titillium" w:hAnsi="Titillium"/>
                                <w:sz w:val="20"/>
                                <w:szCs w:val="20"/>
                              </w:rPr>
                              <w:t>Développements informatique (C# et WPF, T-SQL, MATLAB).</w:t>
                            </w:r>
                          </w:p>
                          <w:p w14:paraId="50067018" w14:textId="77777777" w:rsidR="00F6124C" w:rsidRPr="00F6124C" w:rsidRDefault="00F6124C" w:rsidP="00F6124C">
                            <w:pPr>
                              <w:rPr>
                                <w:rFonts w:ascii="Titillium" w:hAnsi="Titillium"/>
                                <w:sz w:val="20"/>
                                <w:szCs w:val="20"/>
                              </w:rPr>
                            </w:pPr>
                            <w:r w:rsidRPr="00F6124C">
                              <w:rPr>
                                <w:rFonts w:ascii="Courier New" w:hAnsi="Courier New" w:cs="Courier New"/>
                                <w:sz w:val="20"/>
                                <w:szCs w:val="20"/>
                              </w:rPr>
                              <w:t> </w:t>
                            </w:r>
                          </w:p>
                          <w:p w14:paraId="34CE290F" w14:textId="77777777" w:rsidR="00F6124C" w:rsidRPr="00F6124C" w:rsidRDefault="00F6124C" w:rsidP="00F6124C">
                            <w:pPr>
                              <w:rPr>
                                <w:rFonts w:ascii="Titillium" w:hAnsi="Titillium"/>
                                <w:sz w:val="20"/>
                                <w:szCs w:val="20"/>
                              </w:rPr>
                            </w:pPr>
                          </w:p>
                          <w:p w14:paraId="054DE02C" w14:textId="5313FB2F" w:rsidR="00787DD2" w:rsidRPr="00787DD2" w:rsidRDefault="00787DD2" w:rsidP="00787DD2">
                            <w:pPr>
                              <w:rPr>
                                <w:rFonts w:ascii="Titillium" w:hAnsi="Titillium"/>
                                <w:sz w:val="20"/>
                                <w:szCs w:val="20"/>
                              </w:rPr>
                            </w:pPr>
                          </w:p>
                          <w:p w14:paraId="3652E0C0" w14:textId="38A7BEE0" w:rsidR="00D652F8" w:rsidRPr="00D652F8" w:rsidRDefault="00D652F8" w:rsidP="00D652F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4F7D5C55" w14:textId="1193838C" w:rsidR="009051CD" w:rsidRPr="009051CD" w:rsidRDefault="009051CD" w:rsidP="009051CD">
                                  <w:pPr>
                                    <w:rPr>
                                      <w:rFonts w:ascii="Titillium" w:hAnsi="Titillium"/>
                                      <w:sz w:val="20"/>
                                      <w:szCs w:val="20"/>
                                    </w:rPr>
                                  </w:pPr>
                                </w:p>
                              </w:tc>
                            </w:tr>
                          </w:tbl>
                          <w:p w14:paraId="3A8CA1E1" w14:textId="51A8FEB8" w:rsidR="001032F2" w:rsidRPr="001C5D36" w:rsidRDefault="001032F2" w:rsidP="001E5F4F">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84.15pt;margin-top:292.15pt;width:382.65pt;height:536.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jSzwIAANUFAAAOAAAAZHJzL2Uyb0RvYy54bWysVN9vmzAQfp+0/8HyOwUyEhJUUtEgpklV&#10;W62dKu3NMXaDBrZnOwnptP99ZxPSrttLp72Y4/zd+e67H+cXfdeiHdOmkSLH8VmEERNU1o14zPGX&#10;+yqYY2QsETVppWA5PjCDL5bv353vVcYmciPbmmkEToTJ9irHG2tVFoaGblhHzJlUTMAll7ojFn71&#10;Y1hrsgfvXRtOomgW7qWulZaUGQPacrjES++fc0btDeeGWdTmGGKz/tT+XLszXJ6T7FETtWnoMQzy&#10;D1F0pBHw6MlVSSxBW9384aprqJZGcntGZRdKzhvKfA6QTRy9yuZuQxTzuQA5Rp1oMv/PLb3e3WrU&#10;1DlOMRKkgxJ9hUKhmiHLestQ6ijaK5MB8k4B1vaXsodSj3oDSpd5z3XnvpATgnsg+3AiGDwhCspk&#10;Pl3MplOMKNzN5nEMOTs/4bO50sZ+ZLJDTsixhgp6YsnuytgBOkLca0JWTdv6KrbiNwX4HDTMt8Fg&#10;TTIIBUSHdEH5Ev2oimIyKz+UQTlfpEGyZpNgXkVJcFkk03iVplVcpj+HVnk2Wk3TSZFOF8GsmMZB&#10;EkfzoCiiSVBWRVRESbVaJJfeCAIZHw0dkQNhXrKHlrlQWvGZcaiC580pfP+zVavRjkDnEkqZsJ5y&#10;nxagHYpD6m8xPOJ98p6UtxgPNI4vS2FPxl0jpPZFehV2/W0MmQ94qPSLvJ1o+3Xv228y9tNa1gdo&#10;My2HWTWKVg20whUx9pZoGE7oLFg49gYO3sp9juVRwmgj9dPf9A4PMwO3GO1h2HNsvm+JZhi1nwRM&#10;k9sMo6BHYT0KYtutJFQhhlWmqBfBQNt2FLmW3QPsocK9AldEUHgrx3YUV3ZYObDHKCsKD4L5V8Re&#10;iTtFnWtXFNfY9/0D0erY/W4Er+W4Bkj2aggGrLMUsthayRs/IY7XgcUj37A7/Iwd95xbTi//Pep5&#10;Gy9/AQAA//8DAFBLAwQUAAYACAAAACEALK0BOeEAAAANAQAADwAAAGRycy9kb3ducmV2LnhtbEyP&#10;wU7DMAyG70i8Q2QkbiwdZVFXmk4TghMSoisHjmnjtdEapzTZVt6e7DRuv+VPvz8Xm9kO7ISTN44k&#10;LBcJMKTWaUOdhK/67SED5oMirQZHKOEXPWzK25tC5dqdqcLTLnQslpDPlYQ+hDHn3Lc9WuUXbkSK&#10;u72brApxnDquJ3WO5Xbgj0kiuFWG4oVejfjSY3vYHa2E7TdVr+bno/ms9pWp63VC7+Ig5f3dvH0G&#10;FnAOVxgu+lEdyujUuCNpzwYJqcjSiEpYZU8xXIhlmgpgTUxiJdbAy4L//6L8AwAA//8DAFBLAQIt&#10;ABQABgAIAAAAIQC2gziS/gAAAOEBAAATAAAAAAAAAAAAAAAAAAAAAABbQ29udGVudF9UeXBlc10u&#10;eG1sUEsBAi0AFAAGAAgAAAAhADj9If/WAAAAlAEAAAsAAAAAAAAAAAAAAAAALwEAAF9yZWxzLy5y&#10;ZWxzUEsBAi0AFAAGAAgAAAAhANEMSNLPAgAA1QUAAA4AAAAAAAAAAAAAAAAALgIAAGRycy9lMm9E&#10;b2MueG1sUEsBAi0AFAAGAAgAAAAhACytATnhAAAADQEAAA8AAAAAAAAAAAAAAAAAKQUAAGRycy9k&#10;b3ducmV2LnhtbFBLBQYAAAAABAAEAPMAAAA3BgAAAAA=&#10;" filled="f" stroked="f">
                <v:textbox inset="0,0,0,0">
                  <w:txbxContent>
                    <w:p w14:paraId="549CED9D" w14:textId="77777777" w:rsidR="00CB6FC7" w:rsidRPr="00CB6FC7" w:rsidRDefault="00CB6FC7" w:rsidP="00CB6FC7">
                      <w:pPr>
                        <w:spacing w:before="100" w:beforeAutospacing="1" w:after="100" w:afterAutospacing="1"/>
                        <w:rPr>
                          <w:rFonts w:ascii="Titillium" w:hAnsi="Titillium"/>
                          <w:sz w:val="20"/>
                          <w:szCs w:val="20"/>
                        </w:rPr>
                      </w:pPr>
                      <w:r w:rsidRPr="00CB6FC7">
                        <w:rPr>
                          <w:rFonts w:ascii="Titillium" w:hAnsi="Titillium"/>
                          <w:sz w:val="20"/>
                          <w:szCs w:val="20"/>
                        </w:rPr>
                        <w:t xml:space="preserve">Aviva </w:t>
                      </w:r>
                      <w:proofErr w:type="spellStart"/>
                      <w:r w:rsidRPr="00CB6FC7">
                        <w:rPr>
                          <w:rFonts w:ascii="Titillium" w:hAnsi="Titillium"/>
                          <w:sz w:val="20"/>
                          <w:szCs w:val="20"/>
                        </w:rPr>
                        <w:t>Investors</w:t>
                      </w:r>
                      <w:proofErr w:type="spellEnd"/>
                      <w:r w:rsidRPr="00CB6FC7">
                        <w:rPr>
                          <w:rFonts w:ascii="Titillium" w:hAnsi="Titillium"/>
                          <w:sz w:val="20"/>
                          <w:szCs w:val="20"/>
                        </w:rPr>
                        <w:t xml:space="preserve"> est la dénomination commerciale de la branche de gestion d’actifs du groupe Aviva, l’un des plus importants assureurs mondiaux.  Représentée dans quinze pays et comptant plus de 1000 salariés, Aviva </w:t>
                      </w:r>
                      <w:proofErr w:type="spellStart"/>
                      <w:r w:rsidRPr="00CB6FC7">
                        <w:rPr>
                          <w:rFonts w:ascii="Titillium" w:hAnsi="Titillium"/>
                          <w:sz w:val="20"/>
                          <w:szCs w:val="20"/>
                        </w:rPr>
                        <w:t>Investors</w:t>
                      </w:r>
                      <w:proofErr w:type="spellEnd"/>
                      <w:r w:rsidRPr="00CB6FC7">
                        <w:rPr>
                          <w:rFonts w:ascii="Titillium" w:hAnsi="Titillium"/>
                          <w:sz w:val="20"/>
                          <w:szCs w:val="20"/>
                        </w:rPr>
                        <w:t xml:space="preserve"> gère plus de 403 mds d'€ d'actifs au 31/12/2016 sur une large gamme de produits et de solutions d’investissement. Aviva </w:t>
                      </w:r>
                      <w:proofErr w:type="spellStart"/>
                      <w:r w:rsidRPr="00CB6FC7">
                        <w:rPr>
                          <w:rFonts w:ascii="Titillium" w:hAnsi="Titillium"/>
                          <w:sz w:val="20"/>
                          <w:szCs w:val="20"/>
                        </w:rPr>
                        <w:t>Investors</w:t>
                      </w:r>
                      <w:proofErr w:type="spellEnd"/>
                      <w:r w:rsidRPr="00CB6FC7">
                        <w:rPr>
                          <w:rFonts w:ascii="Titillium" w:hAnsi="Titillium"/>
                          <w:sz w:val="20"/>
                          <w:szCs w:val="20"/>
                        </w:rPr>
                        <w:t xml:space="preserve"> offre les avantages d’une dimension internationale combinée à des savoir-faire locaux. Cette organisation nous permet d’exploiter au maximum les opportunités locales pour en faire bénéficier nos clients, au travers de performances d’investissement solides et de produits innovants. Les équipes locales s’appuient sur des services de qualité fournis par des équipes globales basées dans le monde entier et composées de professionnels expérimentés. </w:t>
                      </w:r>
                    </w:p>
                    <w:p w14:paraId="2354851E" w14:textId="77777777" w:rsidR="00CB6FC7" w:rsidRPr="00CB6FC7" w:rsidRDefault="00CB6FC7" w:rsidP="00CB6FC7">
                      <w:pPr>
                        <w:spacing w:before="100" w:beforeAutospacing="1" w:after="100" w:afterAutospacing="1"/>
                        <w:rPr>
                          <w:rFonts w:ascii="Titillium" w:hAnsi="Titillium"/>
                          <w:sz w:val="20"/>
                          <w:szCs w:val="20"/>
                        </w:rPr>
                      </w:pPr>
                      <w:r w:rsidRPr="00CB6FC7">
                        <w:rPr>
                          <w:rFonts w:ascii="Titillium" w:hAnsi="Titillium"/>
                          <w:sz w:val="20"/>
                          <w:szCs w:val="20"/>
                        </w:rPr>
                        <w:t xml:space="preserve">A Paris, avec plus de 104 Mds € d'actifs gérés au 31/12/2016, Aviva </w:t>
                      </w:r>
                      <w:proofErr w:type="spellStart"/>
                      <w:r w:rsidRPr="00CB6FC7">
                        <w:rPr>
                          <w:rFonts w:ascii="Titillium" w:hAnsi="Titillium"/>
                          <w:sz w:val="20"/>
                          <w:szCs w:val="20"/>
                        </w:rPr>
                        <w:t>Investors</w:t>
                      </w:r>
                      <w:proofErr w:type="spellEnd"/>
                      <w:r w:rsidRPr="00CB6FC7">
                        <w:rPr>
                          <w:rFonts w:ascii="Titillium" w:hAnsi="Titillium"/>
                          <w:sz w:val="20"/>
                          <w:szCs w:val="20"/>
                        </w:rPr>
                        <w:t xml:space="preserve"> France se place parmi les dix premières sociétés de gestion d'actifs françaises en termes d'encours sous gestion, Nous proposons à nos clients des expertises variées en gestion obligataire, gestion monétaire, gestion diversifiée et gestion actions au travers de produits innovants et de solutions sur mesure.</w:t>
                      </w:r>
                    </w:p>
                    <w:p w14:paraId="5C84A959" w14:textId="4D0F0268" w:rsidR="00CB6FC7" w:rsidRPr="00CB6FC7" w:rsidRDefault="00CB6FC7" w:rsidP="00CB6FC7">
                      <w:pPr>
                        <w:spacing w:before="100" w:beforeAutospacing="1" w:after="100" w:afterAutospacing="1"/>
                        <w:rPr>
                          <w:rFonts w:ascii="Titillium" w:hAnsi="Titillium"/>
                          <w:i/>
                          <w:sz w:val="18"/>
                          <w:szCs w:val="20"/>
                        </w:rPr>
                      </w:pPr>
                      <w:r w:rsidRPr="00CB6FC7">
                        <w:rPr>
                          <w:rFonts w:ascii="Times New Roman" w:eastAsia="Times New Roman" w:hAnsi="Times New Roman" w:cs="Times New Roman"/>
                          <w:i/>
                          <w:sz w:val="22"/>
                        </w:rPr>
                        <w:t> </w:t>
                      </w:r>
                      <w:r w:rsidRPr="00CB6FC7">
                        <w:rPr>
                          <w:rFonts w:ascii="Titillium" w:hAnsi="Titillium"/>
                          <w:i/>
                          <w:sz w:val="18"/>
                          <w:szCs w:val="20"/>
                        </w:rPr>
                        <w:t>*Classement Europerformance au 31/12/2016</w:t>
                      </w:r>
                    </w:p>
                    <w:p w14:paraId="53DC372E" w14:textId="77777777" w:rsidR="00CB6FC7" w:rsidRDefault="00CB6FC7" w:rsidP="00F6124C">
                      <w:pPr>
                        <w:rPr>
                          <w:rFonts w:ascii="Titillium" w:hAnsi="Titillium"/>
                          <w:b/>
                          <w:color w:val="FFC000"/>
                          <w:sz w:val="20"/>
                          <w:szCs w:val="20"/>
                        </w:rPr>
                      </w:pPr>
                    </w:p>
                    <w:p w14:paraId="643F1F1C" w14:textId="77777777" w:rsidR="00F6124C" w:rsidRDefault="00F6124C" w:rsidP="00F6124C">
                      <w:pPr>
                        <w:rPr>
                          <w:rFonts w:ascii="Titillium" w:hAnsi="Titillium"/>
                          <w:b/>
                          <w:color w:val="FFC000"/>
                          <w:sz w:val="20"/>
                          <w:szCs w:val="20"/>
                        </w:rPr>
                      </w:pPr>
                      <w:r w:rsidRPr="00F6124C">
                        <w:rPr>
                          <w:rFonts w:ascii="Titillium" w:hAnsi="Titillium"/>
                          <w:b/>
                          <w:color w:val="FFC000"/>
                          <w:sz w:val="20"/>
                          <w:szCs w:val="20"/>
                        </w:rPr>
                        <w:t>Missions</w:t>
                      </w:r>
                      <w:r w:rsidRPr="00F6124C">
                        <w:rPr>
                          <w:rFonts w:ascii="Courier New" w:hAnsi="Courier New" w:cs="Courier New"/>
                          <w:b/>
                          <w:color w:val="FFC000"/>
                          <w:sz w:val="20"/>
                          <w:szCs w:val="20"/>
                        </w:rPr>
                        <w:t> </w:t>
                      </w:r>
                      <w:r w:rsidRPr="00F6124C">
                        <w:rPr>
                          <w:rFonts w:ascii="Titillium" w:hAnsi="Titillium"/>
                          <w:b/>
                          <w:color w:val="FFC000"/>
                          <w:sz w:val="20"/>
                          <w:szCs w:val="20"/>
                        </w:rPr>
                        <w:t>:</w:t>
                      </w:r>
                    </w:p>
                    <w:p w14:paraId="423DD307" w14:textId="77777777" w:rsidR="00CB6FC7" w:rsidRDefault="00CB6FC7" w:rsidP="00F6124C">
                      <w:pPr>
                        <w:rPr>
                          <w:rFonts w:ascii="Titillium" w:hAnsi="Titillium"/>
                          <w:b/>
                          <w:color w:val="FFC000"/>
                          <w:sz w:val="20"/>
                          <w:szCs w:val="20"/>
                        </w:rPr>
                      </w:pPr>
                    </w:p>
                    <w:p w14:paraId="5A324031" w14:textId="77777777" w:rsidR="00CB6FC7" w:rsidRDefault="00CB6FC7" w:rsidP="00CB6FC7">
                      <w:pPr>
                        <w:rPr>
                          <w:rFonts w:ascii="Titillium" w:hAnsi="Titillium"/>
                          <w:sz w:val="20"/>
                          <w:szCs w:val="20"/>
                        </w:rPr>
                      </w:pPr>
                      <w:r w:rsidRPr="00CB6FC7">
                        <w:rPr>
                          <w:rFonts w:ascii="Titillium" w:hAnsi="Titillium"/>
                          <w:sz w:val="20"/>
                          <w:szCs w:val="20"/>
                        </w:rPr>
                        <w:t>Au sein du département Opérations, l’équipe Analyse Quantitative Opérations a pour mission principale la valorisation et la contre-valorisation des instruments financiers.</w:t>
                      </w:r>
                    </w:p>
                    <w:p w14:paraId="4F0F77A0" w14:textId="7883D28F" w:rsidR="00CB6FC7" w:rsidRDefault="00CB6FC7" w:rsidP="00CB6FC7">
                      <w:pPr>
                        <w:pStyle w:val="Paragraphedeliste"/>
                        <w:numPr>
                          <w:ilvl w:val="0"/>
                          <w:numId w:val="22"/>
                        </w:numPr>
                        <w:rPr>
                          <w:rFonts w:ascii="Titillium" w:hAnsi="Titillium"/>
                          <w:sz w:val="20"/>
                          <w:szCs w:val="20"/>
                        </w:rPr>
                      </w:pPr>
                      <w:r w:rsidRPr="00CB6FC7">
                        <w:rPr>
                          <w:rFonts w:ascii="Titillium" w:hAnsi="Titillium"/>
                          <w:sz w:val="20"/>
                          <w:szCs w:val="20"/>
                        </w:rPr>
                        <w:t>Développement d’une application interne pour la valorisation des instruments financi</w:t>
                      </w:r>
                      <w:r>
                        <w:rPr>
                          <w:rFonts w:ascii="Titillium" w:hAnsi="Titillium"/>
                          <w:sz w:val="20"/>
                          <w:szCs w:val="20"/>
                        </w:rPr>
                        <w:t>ers et support aux utilisateurs.</w:t>
                      </w:r>
                    </w:p>
                    <w:p w14:paraId="2C1E5BC5" w14:textId="7431B274" w:rsidR="00CB6FC7" w:rsidRDefault="00CB6FC7" w:rsidP="00CB6FC7">
                      <w:pPr>
                        <w:pStyle w:val="Paragraphedeliste"/>
                        <w:numPr>
                          <w:ilvl w:val="0"/>
                          <w:numId w:val="22"/>
                        </w:numPr>
                        <w:rPr>
                          <w:rFonts w:ascii="Titillium" w:hAnsi="Titillium"/>
                          <w:sz w:val="20"/>
                          <w:szCs w:val="20"/>
                        </w:rPr>
                      </w:pPr>
                      <w:r w:rsidRPr="00CB6FC7">
                        <w:rPr>
                          <w:rFonts w:ascii="Titillium" w:hAnsi="Titillium"/>
                          <w:sz w:val="20"/>
                          <w:szCs w:val="20"/>
                        </w:rPr>
                        <w:t>Contrôle des données d</w:t>
                      </w:r>
                      <w:r>
                        <w:rPr>
                          <w:rFonts w:ascii="Titillium" w:hAnsi="Titillium"/>
                          <w:sz w:val="20"/>
                          <w:szCs w:val="20"/>
                        </w:rPr>
                        <w:t>e marchés et des valorisations.</w:t>
                      </w:r>
                    </w:p>
                    <w:p w14:paraId="778FFF05" w14:textId="77777777" w:rsidR="00CB6FC7" w:rsidRDefault="00CB6FC7" w:rsidP="00CB6FC7">
                      <w:pPr>
                        <w:pStyle w:val="Paragraphedeliste"/>
                        <w:numPr>
                          <w:ilvl w:val="0"/>
                          <w:numId w:val="22"/>
                        </w:numPr>
                        <w:rPr>
                          <w:rFonts w:ascii="Titillium" w:hAnsi="Titillium"/>
                          <w:sz w:val="20"/>
                          <w:szCs w:val="20"/>
                        </w:rPr>
                      </w:pPr>
                      <w:r w:rsidRPr="00CB6FC7">
                        <w:rPr>
                          <w:rFonts w:ascii="Titillium" w:hAnsi="Titillium"/>
                          <w:sz w:val="20"/>
                          <w:szCs w:val="20"/>
                        </w:rPr>
                        <w:t>R&amp;D concernant les différentes</w:t>
                      </w:r>
                      <w:r>
                        <w:rPr>
                          <w:rFonts w:ascii="Titillium" w:hAnsi="Titillium"/>
                          <w:sz w:val="20"/>
                          <w:szCs w:val="20"/>
                        </w:rPr>
                        <w:t xml:space="preserve"> méthodologies de valorisation.</w:t>
                      </w:r>
                    </w:p>
                    <w:p w14:paraId="5D638703" w14:textId="77777777" w:rsidR="00CB6FC7" w:rsidRDefault="00CB6FC7" w:rsidP="00CB6FC7">
                      <w:pPr>
                        <w:pStyle w:val="Paragraphedeliste"/>
                        <w:numPr>
                          <w:ilvl w:val="0"/>
                          <w:numId w:val="22"/>
                        </w:numPr>
                        <w:rPr>
                          <w:rFonts w:ascii="Titillium" w:hAnsi="Titillium"/>
                          <w:sz w:val="20"/>
                          <w:szCs w:val="20"/>
                        </w:rPr>
                      </w:pPr>
                      <w:r w:rsidRPr="00CB6FC7">
                        <w:rPr>
                          <w:rFonts w:ascii="Titillium" w:hAnsi="Titillium"/>
                          <w:sz w:val="20"/>
                          <w:szCs w:val="20"/>
                        </w:rPr>
                        <w:t>Rédaction de notes méthodologiques, des rapports de contrôle et des réponses aux audi</w:t>
                      </w:r>
                      <w:r>
                        <w:rPr>
                          <w:rFonts w:ascii="Titillium" w:hAnsi="Titillium"/>
                          <w:sz w:val="20"/>
                          <w:szCs w:val="20"/>
                        </w:rPr>
                        <w:t>teurs externes (CAC, AMF, etc.).</w:t>
                      </w:r>
                    </w:p>
                    <w:p w14:paraId="7B1F7815" w14:textId="77777777" w:rsidR="00CB6FC7" w:rsidRDefault="00CB6FC7" w:rsidP="00CB6FC7">
                      <w:pPr>
                        <w:rPr>
                          <w:rFonts w:ascii="Titillium" w:hAnsi="Titillium"/>
                          <w:sz w:val="20"/>
                          <w:szCs w:val="20"/>
                        </w:rPr>
                      </w:pPr>
                    </w:p>
                    <w:p w14:paraId="491A3E36" w14:textId="77777777" w:rsidR="00CB6FC7" w:rsidRDefault="00CB6FC7" w:rsidP="00CB6FC7">
                      <w:pPr>
                        <w:rPr>
                          <w:rFonts w:ascii="Titillium" w:hAnsi="Titillium"/>
                          <w:sz w:val="20"/>
                          <w:szCs w:val="20"/>
                        </w:rPr>
                      </w:pPr>
                      <w:r>
                        <w:rPr>
                          <w:rFonts w:ascii="Titillium" w:hAnsi="Titillium"/>
                          <w:sz w:val="20"/>
                          <w:szCs w:val="20"/>
                        </w:rPr>
                        <w:t>L’</w:t>
                      </w:r>
                      <w:proofErr w:type="spellStart"/>
                      <w:r>
                        <w:rPr>
                          <w:rFonts w:ascii="Titillium" w:hAnsi="Titillium"/>
                          <w:sz w:val="20"/>
                          <w:szCs w:val="20"/>
                        </w:rPr>
                        <w:t>apprenti.e</w:t>
                      </w:r>
                      <w:proofErr w:type="spellEnd"/>
                      <w:r w:rsidRPr="00CB6FC7">
                        <w:rPr>
                          <w:rFonts w:ascii="Titillium" w:hAnsi="Titillium"/>
                          <w:sz w:val="20"/>
                          <w:szCs w:val="20"/>
                        </w:rPr>
                        <w:t xml:space="preserve"> sera </w:t>
                      </w:r>
                      <w:proofErr w:type="spellStart"/>
                      <w:r w:rsidRPr="00CB6FC7">
                        <w:rPr>
                          <w:rFonts w:ascii="Titillium" w:hAnsi="Titillium"/>
                          <w:sz w:val="20"/>
                          <w:szCs w:val="20"/>
                        </w:rPr>
                        <w:t>amené</w:t>
                      </w:r>
                      <w:r>
                        <w:rPr>
                          <w:rFonts w:ascii="Titillium" w:hAnsi="Titillium"/>
                          <w:sz w:val="20"/>
                          <w:szCs w:val="20"/>
                        </w:rPr>
                        <w:t>.e</w:t>
                      </w:r>
                      <w:proofErr w:type="spellEnd"/>
                      <w:r w:rsidRPr="00CB6FC7">
                        <w:rPr>
                          <w:rFonts w:ascii="Titillium" w:hAnsi="Titillium"/>
                          <w:sz w:val="20"/>
                          <w:szCs w:val="20"/>
                        </w:rPr>
                        <w:t xml:space="preserve"> à travailler sur différents sujets : </w:t>
                      </w:r>
                    </w:p>
                    <w:p w14:paraId="02B7B945" w14:textId="042CD7C1" w:rsidR="00CB6FC7" w:rsidRDefault="00CB6FC7" w:rsidP="00CB6FC7">
                      <w:pPr>
                        <w:pStyle w:val="Paragraphedeliste"/>
                        <w:numPr>
                          <w:ilvl w:val="0"/>
                          <w:numId w:val="23"/>
                        </w:numPr>
                        <w:rPr>
                          <w:rFonts w:ascii="Titillium" w:hAnsi="Titillium"/>
                          <w:sz w:val="20"/>
                          <w:szCs w:val="20"/>
                        </w:rPr>
                      </w:pPr>
                      <w:r w:rsidRPr="00CB6FC7">
                        <w:rPr>
                          <w:rFonts w:ascii="Titillium" w:hAnsi="Titillium"/>
                          <w:sz w:val="20"/>
                          <w:szCs w:val="20"/>
                        </w:rPr>
                        <w:t>Mathématiques financières (calcul stochastique, équations aux dérivées partie</w:t>
                      </w:r>
                      <w:r>
                        <w:rPr>
                          <w:rFonts w:ascii="Titillium" w:hAnsi="Titillium"/>
                          <w:sz w:val="20"/>
                          <w:szCs w:val="20"/>
                        </w:rPr>
                        <w:t>lles, méthodes de Monte-Carlo).</w:t>
                      </w:r>
                    </w:p>
                    <w:p w14:paraId="27731E52" w14:textId="475DBCD6" w:rsidR="00CB6FC7" w:rsidRDefault="00CB6FC7" w:rsidP="00CB6FC7">
                      <w:pPr>
                        <w:pStyle w:val="Paragraphedeliste"/>
                        <w:numPr>
                          <w:ilvl w:val="0"/>
                          <w:numId w:val="23"/>
                        </w:numPr>
                        <w:rPr>
                          <w:rFonts w:ascii="Titillium" w:hAnsi="Titillium"/>
                          <w:sz w:val="20"/>
                          <w:szCs w:val="20"/>
                        </w:rPr>
                      </w:pPr>
                      <w:r w:rsidRPr="00CB6FC7">
                        <w:rPr>
                          <w:rFonts w:ascii="Titillium" w:hAnsi="Titillium"/>
                          <w:sz w:val="20"/>
                          <w:szCs w:val="20"/>
                        </w:rPr>
                        <w:t>Instruments financiers (instruments de taux, instruments dérivés act</w:t>
                      </w:r>
                      <w:r>
                        <w:rPr>
                          <w:rFonts w:ascii="Titillium" w:hAnsi="Titillium"/>
                          <w:sz w:val="20"/>
                          <w:szCs w:val="20"/>
                        </w:rPr>
                        <w:t>ion, crédit, taux et inflation).</w:t>
                      </w:r>
                    </w:p>
                    <w:p w14:paraId="478BFE2B" w14:textId="065EF6C0" w:rsidR="00CB6FC7" w:rsidRPr="00CB6FC7" w:rsidRDefault="00CB6FC7" w:rsidP="00CB6FC7">
                      <w:pPr>
                        <w:pStyle w:val="Paragraphedeliste"/>
                        <w:numPr>
                          <w:ilvl w:val="0"/>
                          <w:numId w:val="23"/>
                        </w:numPr>
                        <w:rPr>
                          <w:rFonts w:ascii="Titillium" w:hAnsi="Titillium"/>
                          <w:sz w:val="20"/>
                          <w:szCs w:val="20"/>
                        </w:rPr>
                      </w:pPr>
                      <w:r w:rsidRPr="00CB6FC7">
                        <w:rPr>
                          <w:rFonts w:ascii="Titillium" w:hAnsi="Titillium"/>
                          <w:sz w:val="20"/>
                          <w:szCs w:val="20"/>
                        </w:rPr>
                        <w:t>Développements informatique (C# et WPF, T-SQL, MATLAB).</w:t>
                      </w:r>
                    </w:p>
                    <w:p w14:paraId="50067018" w14:textId="77777777" w:rsidR="00F6124C" w:rsidRPr="00F6124C" w:rsidRDefault="00F6124C" w:rsidP="00F6124C">
                      <w:pPr>
                        <w:rPr>
                          <w:rFonts w:ascii="Titillium" w:hAnsi="Titillium"/>
                          <w:sz w:val="20"/>
                          <w:szCs w:val="20"/>
                        </w:rPr>
                      </w:pPr>
                      <w:r w:rsidRPr="00F6124C">
                        <w:rPr>
                          <w:rFonts w:ascii="Courier New" w:hAnsi="Courier New" w:cs="Courier New"/>
                          <w:sz w:val="20"/>
                          <w:szCs w:val="20"/>
                        </w:rPr>
                        <w:t> </w:t>
                      </w:r>
                    </w:p>
                    <w:p w14:paraId="34CE290F" w14:textId="77777777" w:rsidR="00F6124C" w:rsidRPr="00F6124C" w:rsidRDefault="00F6124C" w:rsidP="00F6124C">
                      <w:pPr>
                        <w:rPr>
                          <w:rFonts w:ascii="Titillium" w:hAnsi="Titillium"/>
                          <w:sz w:val="20"/>
                          <w:szCs w:val="20"/>
                        </w:rPr>
                      </w:pPr>
                    </w:p>
                    <w:p w14:paraId="054DE02C" w14:textId="5313FB2F" w:rsidR="00787DD2" w:rsidRPr="00787DD2" w:rsidRDefault="00787DD2" w:rsidP="00787DD2">
                      <w:pPr>
                        <w:rPr>
                          <w:rFonts w:ascii="Titillium" w:hAnsi="Titillium"/>
                          <w:sz w:val="20"/>
                          <w:szCs w:val="20"/>
                        </w:rPr>
                      </w:pPr>
                    </w:p>
                    <w:p w14:paraId="3652E0C0" w14:textId="38A7BEE0" w:rsidR="00D652F8" w:rsidRPr="00D652F8" w:rsidRDefault="00D652F8" w:rsidP="00D652F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4F7D5C55" w14:textId="1193838C" w:rsidR="009051CD" w:rsidRPr="009051CD" w:rsidRDefault="009051CD" w:rsidP="009051CD">
                            <w:pPr>
                              <w:rPr>
                                <w:rFonts w:ascii="Titillium" w:hAnsi="Titillium"/>
                                <w:sz w:val="20"/>
                                <w:szCs w:val="20"/>
                              </w:rPr>
                            </w:pPr>
                          </w:p>
                        </w:tc>
                      </w:tr>
                    </w:tbl>
                    <w:p w14:paraId="3A8CA1E1" w14:textId="51A8FEB8" w:rsidR="001032F2" w:rsidRPr="001C5D36" w:rsidRDefault="001032F2" w:rsidP="001E5F4F">
                      <w:pPr>
                        <w:rPr>
                          <w:rFonts w:ascii="Arial" w:hAnsi="Arial"/>
                          <w:b/>
                          <w:sz w:val="20"/>
                          <w:szCs w:val="20"/>
                        </w:rPr>
                      </w:pPr>
                    </w:p>
                  </w:txbxContent>
                </v:textbox>
                <w10:wrap anchorx="page" anchory="page"/>
              </v:shape>
            </w:pict>
          </mc:Fallback>
        </mc:AlternateContent>
      </w:r>
    </w:p>
    <w:p w14:paraId="08E924B8" w14:textId="6C620A53" w:rsidR="00025BE8" w:rsidRPr="00025BE8" w:rsidRDefault="00025BE8" w:rsidP="00025BE8"/>
    <w:p w14:paraId="6DBFCD75" w14:textId="77777777" w:rsidR="00025BE8" w:rsidRPr="00025BE8" w:rsidRDefault="00025BE8" w:rsidP="00025BE8"/>
    <w:p w14:paraId="3654CF05" w14:textId="77777777" w:rsidR="00025BE8" w:rsidRPr="00025BE8" w:rsidRDefault="00025BE8" w:rsidP="00025BE8"/>
    <w:p w14:paraId="27EBB516" w14:textId="77777777" w:rsidR="00025BE8" w:rsidRPr="00025BE8" w:rsidRDefault="00025BE8" w:rsidP="00025BE8"/>
    <w:p w14:paraId="3CB05142" w14:textId="77777777" w:rsidR="00025BE8" w:rsidRPr="00025BE8" w:rsidRDefault="00025BE8" w:rsidP="00025BE8"/>
    <w:p w14:paraId="148E1C08" w14:textId="77777777" w:rsidR="00025BE8" w:rsidRPr="00025BE8" w:rsidRDefault="00025BE8" w:rsidP="00025BE8"/>
    <w:p w14:paraId="71C588AF" w14:textId="77777777" w:rsidR="00025BE8" w:rsidRPr="00025BE8" w:rsidRDefault="00025BE8" w:rsidP="00025BE8"/>
    <w:p w14:paraId="6B746BA4" w14:textId="77777777" w:rsidR="00025BE8" w:rsidRPr="00025BE8" w:rsidRDefault="00025BE8" w:rsidP="00025BE8"/>
    <w:p w14:paraId="31EA95C0" w14:textId="77777777" w:rsidR="00025BE8" w:rsidRPr="00025BE8" w:rsidRDefault="00025BE8" w:rsidP="00025BE8"/>
    <w:p w14:paraId="34092726" w14:textId="77777777" w:rsidR="00025BE8" w:rsidRPr="00025BE8" w:rsidRDefault="00025BE8" w:rsidP="00025BE8"/>
    <w:p w14:paraId="64D28864" w14:textId="77777777" w:rsidR="00025BE8" w:rsidRPr="00025BE8" w:rsidRDefault="00025BE8" w:rsidP="00025BE8"/>
    <w:p w14:paraId="28D92491" w14:textId="77777777" w:rsidR="00025BE8" w:rsidRPr="00025BE8" w:rsidRDefault="00025BE8" w:rsidP="00025BE8"/>
    <w:p w14:paraId="53C2C3C4" w14:textId="77777777" w:rsidR="00025BE8" w:rsidRPr="00025BE8" w:rsidRDefault="00025BE8" w:rsidP="00025BE8"/>
    <w:p w14:paraId="4ABCF0A6" w14:textId="77777777" w:rsidR="00025BE8" w:rsidRPr="00025BE8" w:rsidRDefault="00025BE8" w:rsidP="00025BE8"/>
    <w:p w14:paraId="4C27E7E8" w14:textId="77777777" w:rsidR="00025BE8" w:rsidRPr="00025BE8" w:rsidRDefault="00025BE8" w:rsidP="00025BE8"/>
    <w:p w14:paraId="28606889" w14:textId="77777777" w:rsidR="00025BE8" w:rsidRPr="00025BE8" w:rsidRDefault="00025BE8" w:rsidP="00025BE8"/>
    <w:p w14:paraId="626C1F9E" w14:textId="77777777" w:rsidR="00025BE8" w:rsidRPr="00025BE8" w:rsidRDefault="00025BE8" w:rsidP="00025BE8"/>
    <w:p w14:paraId="2322DEAC" w14:textId="77777777" w:rsidR="00025BE8" w:rsidRPr="00025BE8" w:rsidRDefault="00025BE8" w:rsidP="00025BE8"/>
    <w:p w14:paraId="2753506B" w14:textId="77777777" w:rsidR="00025BE8" w:rsidRPr="00025BE8" w:rsidRDefault="00025BE8" w:rsidP="00025BE8"/>
    <w:p w14:paraId="4DA88F6D" w14:textId="4240CE98" w:rsidR="00025BE8" w:rsidRDefault="00025BE8" w:rsidP="00025BE8"/>
    <w:p w14:paraId="4B428020" w14:textId="513A1C79" w:rsidR="00500E1D" w:rsidRDefault="00025BE8" w:rsidP="00025BE8">
      <w:pPr>
        <w:tabs>
          <w:tab w:val="left" w:pos="4299"/>
        </w:tabs>
      </w:pPr>
      <w:r>
        <w:tab/>
      </w:r>
    </w:p>
    <w:p w14:paraId="3D63276C" w14:textId="77777777" w:rsidR="00025BE8" w:rsidRDefault="00025BE8" w:rsidP="00025BE8">
      <w:pPr>
        <w:tabs>
          <w:tab w:val="left" w:pos="4299"/>
        </w:tabs>
      </w:pPr>
    </w:p>
    <w:p w14:paraId="1FEC2F6E" w14:textId="77777777" w:rsidR="00025BE8" w:rsidRDefault="00025BE8" w:rsidP="00025BE8">
      <w:pPr>
        <w:tabs>
          <w:tab w:val="left" w:pos="4299"/>
        </w:tabs>
      </w:pPr>
    </w:p>
    <w:p w14:paraId="42E45698" w14:textId="77777777" w:rsidR="00025BE8" w:rsidRDefault="00025BE8" w:rsidP="00025BE8">
      <w:pPr>
        <w:tabs>
          <w:tab w:val="left" w:pos="4299"/>
        </w:tabs>
      </w:pPr>
    </w:p>
    <w:p w14:paraId="4CDAD192" w14:textId="77777777" w:rsidR="00025BE8" w:rsidRDefault="00025BE8" w:rsidP="00025BE8">
      <w:pPr>
        <w:tabs>
          <w:tab w:val="left" w:pos="4299"/>
        </w:tabs>
      </w:pPr>
    </w:p>
    <w:p w14:paraId="335A2679" w14:textId="77777777" w:rsidR="0008336F" w:rsidRDefault="0008336F" w:rsidP="00025BE8">
      <w:pPr>
        <w:tabs>
          <w:tab w:val="left" w:pos="4299"/>
        </w:tabs>
      </w:pPr>
    </w:p>
    <w:p w14:paraId="458AA4A6" w14:textId="77777777" w:rsidR="00025BE8" w:rsidRDefault="00025BE8" w:rsidP="00025BE8">
      <w:pPr>
        <w:tabs>
          <w:tab w:val="left" w:pos="4299"/>
        </w:tabs>
      </w:pPr>
    </w:p>
    <w:p w14:paraId="72DB4453" w14:textId="77777777" w:rsidR="00025BE8" w:rsidRDefault="00025BE8" w:rsidP="00025BE8">
      <w:pPr>
        <w:tabs>
          <w:tab w:val="left" w:pos="4299"/>
        </w:tabs>
      </w:pPr>
    </w:p>
    <w:p w14:paraId="01A6AB67" w14:textId="77777777" w:rsidR="00025BE8" w:rsidRDefault="00025BE8" w:rsidP="00025BE8">
      <w:pPr>
        <w:tabs>
          <w:tab w:val="left" w:pos="4299"/>
        </w:tabs>
      </w:pPr>
    </w:p>
    <w:p w14:paraId="720A4E54" w14:textId="77777777" w:rsidR="00025BE8" w:rsidRDefault="00025BE8" w:rsidP="00025BE8">
      <w:pPr>
        <w:tabs>
          <w:tab w:val="left" w:pos="4299"/>
        </w:tabs>
      </w:pPr>
    </w:p>
    <w:p w14:paraId="10695121" w14:textId="77777777" w:rsidR="0008336F" w:rsidRDefault="0008336F" w:rsidP="00025BE8">
      <w:pPr>
        <w:tabs>
          <w:tab w:val="left" w:pos="4299"/>
        </w:tabs>
      </w:pPr>
    </w:p>
    <w:p w14:paraId="106BEA66" w14:textId="77777777" w:rsidR="00025BE8" w:rsidRDefault="00025BE8" w:rsidP="00025BE8">
      <w:pPr>
        <w:tabs>
          <w:tab w:val="left" w:pos="4299"/>
        </w:tabs>
      </w:pPr>
    </w:p>
    <w:p w14:paraId="170C1011" w14:textId="77777777" w:rsidR="00025BE8" w:rsidRDefault="00025BE8" w:rsidP="00025BE8">
      <w:pPr>
        <w:tabs>
          <w:tab w:val="left" w:pos="4299"/>
        </w:tabs>
      </w:pPr>
    </w:p>
    <w:p w14:paraId="44D11AD1" w14:textId="77777777" w:rsidR="00025BE8" w:rsidRDefault="00025BE8" w:rsidP="00025BE8">
      <w:pPr>
        <w:tabs>
          <w:tab w:val="left" w:pos="4299"/>
        </w:tabs>
      </w:pPr>
    </w:p>
    <w:p w14:paraId="722240A5" w14:textId="77777777" w:rsidR="00CB6FC7" w:rsidRDefault="00CB6FC7" w:rsidP="00025BE8">
      <w:pPr>
        <w:tabs>
          <w:tab w:val="left" w:pos="4299"/>
        </w:tabs>
      </w:pPr>
    </w:p>
    <w:p w14:paraId="2716F127" w14:textId="41B06C8B" w:rsidR="00CB6FC7" w:rsidRDefault="00CB6FC7" w:rsidP="00025BE8">
      <w:pPr>
        <w:tabs>
          <w:tab w:val="left" w:pos="4299"/>
        </w:tabs>
      </w:pPr>
    </w:p>
    <w:p w14:paraId="24FE9812" w14:textId="2840F101" w:rsidR="00025BE8" w:rsidRDefault="00CB6FC7" w:rsidP="00025BE8">
      <w:pPr>
        <w:tabs>
          <w:tab w:val="left" w:pos="4299"/>
        </w:tabs>
      </w:pPr>
      <w:r>
        <w:rPr>
          <w:noProof/>
        </w:rPr>
        <mc:AlternateContent>
          <mc:Choice Requires="wps">
            <w:drawing>
              <wp:anchor distT="0" distB="0" distL="114300" distR="114300" simplePos="0" relativeHeight="251673600" behindDoc="0" locked="0" layoutInCell="1" allowOverlap="1" wp14:anchorId="3DAE19F0" wp14:editId="5E6A8B67">
                <wp:simplePos x="0" y="0"/>
                <wp:positionH relativeFrom="page">
                  <wp:posOffset>2491105</wp:posOffset>
                </wp:positionH>
                <wp:positionV relativeFrom="page">
                  <wp:posOffset>867410</wp:posOffset>
                </wp:positionV>
                <wp:extent cx="4859655" cy="6811010"/>
                <wp:effectExtent l="0" t="0" r="17145" b="8890"/>
                <wp:wrapNone/>
                <wp:docPr id="8" name="Zone de texte 8"/>
                <wp:cNvGraphicFramePr/>
                <a:graphic xmlns:a="http://schemas.openxmlformats.org/drawingml/2006/main">
                  <a:graphicData uri="http://schemas.microsoft.com/office/word/2010/wordprocessingShape">
                    <wps:wsp>
                      <wps:cNvSpPr txBox="1"/>
                      <wps:spPr>
                        <a:xfrm>
                          <a:off x="0" y="0"/>
                          <a:ext cx="4859655" cy="68110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E9884B" w14:textId="77777777" w:rsidR="00CB6FC7" w:rsidRPr="00CB6FC7" w:rsidRDefault="00CB6FC7" w:rsidP="00CB6FC7">
                            <w:pPr>
                              <w:rPr>
                                <w:rFonts w:ascii="Titillium" w:hAnsi="Titillium"/>
                                <w:sz w:val="20"/>
                                <w:szCs w:val="20"/>
                              </w:rPr>
                            </w:pPr>
                            <w:r w:rsidRPr="00CB6FC7">
                              <w:rPr>
                                <w:rFonts w:ascii="Titillium" w:hAnsi="Titillium"/>
                                <w:sz w:val="20"/>
                                <w:szCs w:val="20"/>
                              </w:rPr>
                              <w:t xml:space="preserve">Vous serez encadré par un ingénieur spécialiste de </w:t>
                            </w:r>
                            <w:proofErr w:type="spellStart"/>
                            <w:r w:rsidRPr="00CB6FC7">
                              <w:rPr>
                                <w:rFonts w:ascii="Titillium" w:hAnsi="Titillium"/>
                                <w:sz w:val="20"/>
                                <w:szCs w:val="20"/>
                              </w:rPr>
                              <w:t>Symfony</w:t>
                            </w:r>
                            <w:proofErr w:type="spellEnd"/>
                            <w:r w:rsidRPr="00CB6FC7">
                              <w:rPr>
                                <w:rFonts w:ascii="Titillium" w:hAnsi="Titillium"/>
                                <w:sz w:val="20"/>
                                <w:szCs w:val="20"/>
                              </w:rPr>
                              <w:t xml:space="preserve">, travaillant sur le </w:t>
                            </w:r>
                            <w:proofErr w:type="spellStart"/>
                            <w:r w:rsidRPr="00CB6FC7">
                              <w:rPr>
                                <w:rFonts w:ascii="Titillium" w:hAnsi="Titillium"/>
                                <w:sz w:val="20"/>
                                <w:szCs w:val="20"/>
                              </w:rPr>
                              <w:t>framework</w:t>
                            </w:r>
                            <w:proofErr w:type="spellEnd"/>
                            <w:r w:rsidRPr="00CB6FC7">
                              <w:rPr>
                                <w:rFonts w:ascii="Titillium" w:hAnsi="Titillium"/>
                                <w:sz w:val="20"/>
                                <w:szCs w:val="20"/>
                              </w:rPr>
                              <w:t xml:space="preserve"> depuis plusieurs années, contribuant à des Bundles du </w:t>
                            </w:r>
                            <w:proofErr w:type="spellStart"/>
                            <w:r w:rsidRPr="00CB6FC7">
                              <w:rPr>
                                <w:rFonts w:ascii="Titillium" w:hAnsi="Titillium"/>
                                <w:sz w:val="20"/>
                                <w:szCs w:val="20"/>
                              </w:rPr>
                              <w:t>framework</w:t>
                            </w:r>
                            <w:proofErr w:type="spellEnd"/>
                            <w:r w:rsidRPr="00CB6FC7">
                              <w:rPr>
                                <w:rFonts w:ascii="Titillium" w:hAnsi="Titillium"/>
                                <w:sz w:val="20"/>
                                <w:szCs w:val="20"/>
                              </w:rPr>
                              <w:t xml:space="preserve"> etc…</w:t>
                            </w:r>
                          </w:p>
                          <w:p w14:paraId="3872D8AB" w14:textId="77777777" w:rsidR="00CB6FC7" w:rsidRDefault="00CB6FC7" w:rsidP="00CB6FC7">
                            <w:pPr>
                              <w:rPr>
                                <w:rFonts w:ascii="Titillium" w:hAnsi="Titillium"/>
                                <w:b/>
                                <w:color w:val="FFC000"/>
                                <w:sz w:val="20"/>
                                <w:szCs w:val="20"/>
                              </w:rPr>
                            </w:pPr>
                          </w:p>
                          <w:p w14:paraId="249B18FB" w14:textId="77777777" w:rsidR="00CB6FC7" w:rsidRDefault="00CB6FC7" w:rsidP="00CB6FC7">
                            <w:pPr>
                              <w:rPr>
                                <w:rFonts w:ascii="Titillium" w:hAnsi="Titillium"/>
                                <w:sz w:val="20"/>
                                <w:szCs w:val="20"/>
                              </w:rPr>
                            </w:pPr>
                          </w:p>
                          <w:p w14:paraId="1BD1A15D" w14:textId="25FF72C2" w:rsidR="00CB6FC7" w:rsidRPr="007404FE" w:rsidRDefault="00CB6FC7" w:rsidP="00CB6FC7">
                            <w:pPr>
                              <w:rPr>
                                <w:rFonts w:ascii="Titillium" w:hAnsi="Titillium"/>
                                <w:b/>
                                <w:color w:val="FFC000"/>
                                <w:sz w:val="20"/>
                                <w:szCs w:val="20"/>
                              </w:rPr>
                            </w:pPr>
                            <w:r w:rsidRPr="007404FE">
                              <w:rPr>
                                <w:rFonts w:ascii="Titillium" w:hAnsi="Titillium"/>
                                <w:b/>
                                <w:color w:val="FFC000"/>
                                <w:sz w:val="20"/>
                                <w:szCs w:val="20"/>
                              </w:rPr>
                              <w:t xml:space="preserve">Profil </w:t>
                            </w:r>
                          </w:p>
                          <w:p w14:paraId="5428382A" w14:textId="4710E23C" w:rsidR="00CB6FC7" w:rsidRDefault="007404FE" w:rsidP="007404FE">
                            <w:pPr>
                              <w:pStyle w:val="Paragraphedeliste"/>
                              <w:numPr>
                                <w:ilvl w:val="0"/>
                                <w:numId w:val="24"/>
                              </w:numPr>
                              <w:rPr>
                                <w:rFonts w:ascii="Titillium" w:hAnsi="Titillium"/>
                                <w:sz w:val="20"/>
                                <w:szCs w:val="20"/>
                              </w:rPr>
                            </w:pPr>
                            <w:r>
                              <w:rPr>
                                <w:rFonts w:ascii="Titillium" w:hAnsi="Titillium"/>
                                <w:sz w:val="20"/>
                                <w:szCs w:val="20"/>
                              </w:rPr>
                              <w:t>Anglais professionnel</w:t>
                            </w:r>
                          </w:p>
                          <w:p w14:paraId="5E0A2A98" w14:textId="0FE359DB" w:rsidR="007404FE" w:rsidRDefault="007404FE" w:rsidP="007404FE">
                            <w:pPr>
                              <w:pStyle w:val="Paragraphedeliste"/>
                              <w:numPr>
                                <w:ilvl w:val="0"/>
                                <w:numId w:val="24"/>
                              </w:numPr>
                              <w:rPr>
                                <w:rFonts w:ascii="Titillium" w:hAnsi="Titillium"/>
                                <w:sz w:val="20"/>
                                <w:szCs w:val="20"/>
                              </w:rPr>
                            </w:pPr>
                            <w:r>
                              <w:rPr>
                                <w:rFonts w:ascii="Titillium" w:hAnsi="Titillium"/>
                                <w:sz w:val="20"/>
                                <w:szCs w:val="20"/>
                              </w:rPr>
                              <w:t>Capacité de rédaction</w:t>
                            </w:r>
                          </w:p>
                          <w:p w14:paraId="6DC3E98B" w14:textId="1FFAF0D1" w:rsidR="007404FE" w:rsidRPr="007404FE" w:rsidRDefault="007404FE" w:rsidP="007404FE">
                            <w:pPr>
                              <w:pStyle w:val="Paragraphedeliste"/>
                              <w:numPr>
                                <w:ilvl w:val="0"/>
                                <w:numId w:val="24"/>
                              </w:numPr>
                              <w:rPr>
                                <w:rFonts w:ascii="Titillium" w:hAnsi="Titillium"/>
                                <w:sz w:val="20"/>
                                <w:szCs w:val="20"/>
                              </w:rPr>
                            </w:pPr>
                            <w:r>
                              <w:rPr>
                                <w:rFonts w:ascii="Titillium" w:hAnsi="Titillium"/>
                                <w:sz w:val="20"/>
                                <w:szCs w:val="20"/>
                              </w:rPr>
                              <w:t>Bon relationnel</w:t>
                            </w:r>
                          </w:p>
                          <w:p w14:paraId="456B0560" w14:textId="78F535A0" w:rsidR="007404FE" w:rsidRPr="007404FE" w:rsidRDefault="007404FE" w:rsidP="007404FE">
                            <w:pPr>
                              <w:spacing w:before="100" w:beforeAutospacing="1" w:after="100" w:afterAutospacing="1"/>
                              <w:ind w:hanging="360"/>
                              <w:rPr>
                                <w:rFonts w:ascii="Times New Roman" w:eastAsia="Times New Roman" w:hAnsi="Times New Roman" w:cs="Times New Roman"/>
                              </w:rPr>
                            </w:pPr>
                            <w:r w:rsidRPr="007404FE">
                              <w:rPr>
                                <w:rFonts w:ascii="Times New Roman" w:eastAsia="Times New Roman" w:hAnsi="Times New Roman" w:cs="Times New Roman"/>
                                <w:sz w:val="14"/>
                                <w:szCs w:val="14"/>
                              </w:rPr>
                              <w:t xml:space="preserve">   </w:t>
                            </w:r>
                            <w:bookmarkStart w:id="0" w:name="_GoBack"/>
                            <w:bookmarkEnd w:id="0"/>
                          </w:p>
                          <w:p w14:paraId="53E24B9A" w14:textId="77777777" w:rsidR="00CB6FC7" w:rsidRPr="00F6124C" w:rsidRDefault="00CB6FC7" w:rsidP="00CB6FC7">
                            <w:pPr>
                              <w:rPr>
                                <w:rFonts w:ascii="Titillium" w:hAnsi="Titillium"/>
                                <w:sz w:val="20"/>
                                <w:szCs w:val="20"/>
                              </w:rPr>
                            </w:pPr>
                          </w:p>
                          <w:p w14:paraId="6D1A1E3C" w14:textId="77777777" w:rsidR="00CB6FC7" w:rsidRPr="00787DD2" w:rsidRDefault="00CB6FC7" w:rsidP="00CB6FC7">
                            <w:pPr>
                              <w:rPr>
                                <w:rFonts w:ascii="Titillium" w:hAnsi="Titillium"/>
                                <w:sz w:val="20"/>
                                <w:szCs w:val="20"/>
                              </w:rPr>
                            </w:pPr>
                          </w:p>
                          <w:p w14:paraId="1E06E7D3" w14:textId="77777777" w:rsidR="00CB6FC7" w:rsidRPr="00D652F8" w:rsidRDefault="00CB6FC7" w:rsidP="00CB6FC7">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CB6FC7" w:rsidRPr="00D652F8" w14:paraId="139E690B" w14:textId="77777777">
                              <w:trPr>
                                <w:trHeight w:val="465"/>
                              </w:trPr>
                              <w:tc>
                                <w:tcPr>
                                  <w:tcW w:w="6888" w:type="dxa"/>
                                </w:tcPr>
                                <w:p w14:paraId="09F83F3B" w14:textId="77777777" w:rsidR="00CB6FC7" w:rsidRPr="009051CD" w:rsidRDefault="00CB6FC7" w:rsidP="009051CD">
                                  <w:pPr>
                                    <w:rPr>
                                      <w:rFonts w:ascii="Titillium" w:hAnsi="Titillium"/>
                                      <w:sz w:val="20"/>
                                      <w:szCs w:val="20"/>
                                    </w:rPr>
                                  </w:pPr>
                                </w:p>
                              </w:tc>
                            </w:tr>
                          </w:tbl>
                          <w:p w14:paraId="3F307DB9" w14:textId="77777777" w:rsidR="00CB6FC7" w:rsidRPr="001C5D36" w:rsidRDefault="00CB6FC7" w:rsidP="00CB6FC7">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9" type="#_x0000_t202" style="position:absolute;margin-left:196.15pt;margin-top:68.3pt;width:382.65pt;height:536.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YzwIAANUFAAAOAAAAZHJzL2Uyb0RvYy54bWysVN9vmzAQfp+0/8HyOwVSkhBUUtEgpklV&#10;W62dKu3NMXaDBrZnOwnZtP99ZxPSrttLp72Y4/zd+e67HxeXfdeiHdOmkSLH8VmEERNU1o14yvHn&#10;hypIMTKWiJq0UrAcH5jBl8v37y72KmMTuZFtzTQCJ8Jke5XjjbUqC0NDN6wj5kwqJuCSS90RC7/6&#10;Kaw12YP3rg0nUTQL91LXSkvKjAFtOVzipffPOaP2lnPDLGpzDLFZf2p/rt0ZLi9I9qSJ2jT0GAb5&#10;hyg60gh49OSqJJagrW7+cNU1VEsjuT2jsgsl5w1lPgfIJo5eZXO/IYr5XIAco040mf/nlt7s7jRq&#10;6hxDoQTpoERfoFCoZsiy3jKUOor2ymSAvFeAtf2V7KHUo96A0mXec925L+SE4B7IPpwIBk+IgjJJ&#10;p4vZdIoRhbtZGseQs/MTPpsrbewHJjvkhBxrqKAnluyujR2gI8S9JmTVtK2vYit+U4DPQcN8GwzW&#10;JINQQHRIF5Qv0Y+qKCaz8rwMynQxD5I1mwRpFSXBVZFM49V8XsXl/OfQKs9Gq+l8Usyni2BWTOMg&#10;iaM0KIpoEpRVERVRUq0WyZU3gkDGR0NH5ECYl+yhZS6UVnxiHKrgeXMK3/9s1Wq0I9C5hFImrKfc&#10;pwVoh+KQ+lsMj3ifvCflLcYDjePLUtiTcdcIqX2RXoVdfx1D5gMeKv0ibyfaft379jsf+2kt6wO0&#10;mZbDrBpFqwZa4ZoYe0c0DCd0FiwcewsHb+U+x/IoYbSR+vvf9A4PMwO3GO1h2HNsvm2JZhi1HwVM&#10;k9sMo6BHYT0KYtutJFQhhlWmqBfBQNt2FLmW3SPsocK9AldEUHgrx3YUV3ZYObDHKCsKD4L5V8Re&#10;i3tFnWtXFNfYD/0j0erY/W4Eb+S4Bkj2aggGrLMUsthayRs/IY7XgcUj37A7/Iwd95xbTi//Pep5&#10;Gy9/AQAA//8DAFBLAwQUAAYACAAAACEAtjGlUOAAAAANAQAADwAAAGRycy9kb3ducmV2LnhtbEyP&#10;wU7DMBBE70j8g7VI3KjdRAQS4lQVghMSIg0Hjk7sJlbjdYjdNvw92xPcZjVPszPlZnEjO5k5WI8S&#10;1isBzGDntcVewmfzevcILESFWo0ejYQfE2BTXV+VqtD+jLU57WLPKARDoSQMMU4F56EbjFNh5SeD&#10;5O397FSkc+65ntWZwt3IEyEy7pRF+jCoyTwPpjvsjk7C9gvrF/v93n7U+9o2TS7wLTtIeXuzbJ+A&#10;RbPEPxgu9ak6VNSp9UfUgY0S0jxJCSUjzTJgF2J9/0CqJZWIPAFelfz/iuoXAAD//wMAUEsBAi0A&#10;FAAGAAgAAAAhALaDOJL+AAAA4QEAABMAAAAAAAAAAAAAAAAAAAAAAFtDb250ZW50X1R5cGVzXS54&#10;bWxQSwECLQAUAAYACAAAACEAOP0h/9YAAACUAQAACwAAAAAAAAAAAAAAAAAvAQAAX3JlbHMvLnJl&#10;bHNQSwECLQAUAAYACAAAACEAnhvoGM8CAADVBQAADgAAAAAAAAAAAAAAAAAuAgAAZHJzL2Uyb0Rv&#10;Yy54bWxQSwECLQAUAAYACAAAACEAtjGlUOAAAAANAQAADwAAAAAAAAAAAAAAAAApBQAAZHJzL2Rv&#10;d25yZXYueG1sUEsFBgAAAAAEAAQA8wAAADYGAAAAAA==&#10;" filled="f" stroked="f">
                <v:textbox inset="0,0,0,0">
                  <w:txbxContent>
                    <w:p w14:paraId="46E9884B" w14:textId="77777777" w:rsidR="00CB6FC7" w:rsidRPr="00CB6FC7" w:rsidRDefault="00CB6FC7" w:rsidP="00CB6FC7">
                      <w:pPr>
                        <w:rPr>
                          <w:rFonts w:ascii="Titillium" w:hAnsi="Titillium"/>
                          <w:sz w:val="20"/>
                          <w:szCs w:val="20"/>
                        </w:rPr>
                      </w:pPr>
                      <w:r w:rsidRPr="00CB6FC7">
                        <w:rPr>
                          <w:rFonts w:ascii="Titillium" w:hAnsi="Titillium"/>
                          <w:sz w:val="20"/>
                          <w:szCs w:val="20"/>
                        </w:rPr>
                        <w:t xml:space="preserve">Vous serez encadré par un ingénieur spécialiste de </w:t>
                      </w:r>
                      <w:proofErr w:type="spellStart"/>
                      <w:r w:rsidRPr="00CB6FC7">
                        <w:rPr>
                          <w:rFonts w:ascii="Titillium" w:hAnsi="Titillium"/>
                          <w:sz w:val="20"/>
                          <w:szCs w:val="20"/>
                        </w:rPr>
                        <w:t>Symfony</w:t>
                      </w:r>
                      <w:proofErr w:type="spellEnd"/>
                      <w:r w:rsidRPr="00CB6FC7">
                        <w:rPr>
                          <w:rFonts w:ascii="Titillium" w:hAnsi="Titillium"/>
                          <w:sz w:val="20"/>
                          <w:szCs w:val="20"/>
                        </w:rPr>
                        <w:t xml:space="preserve">, travaillant sur le </w:t>
                      </w:r>
                      <w:proofErr w:type="spellStart"/>
                      <w:r w:rsidRPr="00CB6FC7">
                        <w:rPr>
                          <w:rFonts w:ascii="Titillium" w:hAnsi="Titillium"/>
                          <w:sz w:val="20"/>
                          <w:szCs w:val="20"/>
                        </w:rPr>
                        <w:t>framework</w:t>
                      </w:r>
                      <w:proofErr w:type="spellEnd"/>
                      <w:r w:rsidRPr="00CB6FC7">
                        <w:rPr>
                          <w:rFonts w:ascii="Titillium" w:hAnsi="Titillium"/>
                          <w:sz w:val="20"/>
                          <w:szCs w:val="20"/>
                        </w:rPr>
                        <w:t xml:space="preserve"> depuis plusieurs années, contribuant à des Bundles du </w:t>
                      </w:r>
                      <w:proofErr w:type="spellStart"/>
                      <w:r w:rsidRPr="00CB6FC7">
                        <w:rPr>
                          <w:rFonts w:ascii="Titillium" w:hAnsi="Titillium"/>
                          <w:sz w:val="20"/>
                          <w:szCs w:val="20"/>
                        </w:rPr>
                        <w:t>framework</w:t>
                      </w:r>
                      <w:proofErr w:type="spellEnd"/>
                      <w:r w:rsidRPr="00CB6FC7">
                        <w:rPr>
                          <w:rFonts w:ascii="Titillium" w:hAnsi="Titillium"/>
                          <w:sz w:val="20"/>
                          <w:szCs w:val="20"/>
                        </w:rPr>
                        <w:t xml:space="preserve"> etc…</w:t>
                      </w:r>
                    </w:p>
                    <w:p w14:paraId="3872D8AB" w14:textId="77777777" w:rsidR="00CB6FC7" w:rsidRDefault="00CB6FC7" w:rsidP="00CB6FC7">
                      <w:pPr>
                        <w:rPr>
                          <w:rFonts w:ascii="Titillium" w:hAnsi="Titillium"/>
                          <w:b/>
                          <w:color w:val="FFC000"/>
                          <w:sz w:val="20"/>
                          <w:szCs w:val="20"/>
                        </w:rPr>
                      </w:pPr>
                    </w:p>
                    <w:p w14:paraId="249B18FB" w14:textId="77777777" w:rsidR="00CB6FC7" w:rsidRDefault="00CB6FC7" w:rsidP="00CB6FC7">
                      <w:pPr>
                        <w:rPr>
                          <w:rFonts w:ascii="Titillium" w:hAnsi="Titillium"/>
                          <w:sz w:val="20"/>
                          <w:szCs w:val="20"/>
                        </w:rPr>
                      </w:pPr>
                    </w:p>
                    <w:p w14:paraId="1BD1A15D" w14:textId="25FF72C2" w:rsidR="00CB6FC7" w:rsidRPr="007404FE" w:rsidRDefault="00CB6FC7" w:rsidP="00CB6FC7">
                      <w:pPr>
                        <w:rPr>
                          <w:rFonts w:ascii="Titillium" w:hAnsi="Titillium"/>
                          <w:b/>
                          <w:color w:val="FFC000"/>
                          <w:sz w:val="20"/>
                          <w:szCs w:val="20"/>
                        </w:rPr>
                      </w:pPr>
                      <w:r w:rsidRPr="007404FE">
                        <w:rPr>
                          <w:rFonts w:ascii="Titillium" w:hAnsi="Titillium"/>
                          <w:b/>
                          <w:color w:val="FFC000"/>
                          <w:sz w:val="20"/>
                          <w:szCs w:val="20"/>
                        </w:rPr>
                        <w:t xml:space="preserve">Profil </w:t>
                      </w:r>
                    </w:p>
                    <w:p w14:paraId="5428382A" w14:textId="4710E23C" w:rsidR="00CB6FC7" w:rsidRDefault="007404FE" w:rsidP="007404FE">
                      <w:pPr>
                        <w:pStyle w:val="Paragraphedeliste"/>
                        <w:numPr>
                          <w:ilvl w:val="0"/>
                          <w:numId w:val="24"/>
                        </w:numPr>
                        <w:rPr>
                          <w:rFonts w:ascii="Titillium" w:hAnsi="Titillium"/>
                          <w:sz w:val="20"/>
                          <w:szCs w:val="20"/>
                        </w:rPr>
                      </w:pPr>
                      <w:r>
                        <w:rPr>
                          <w:rFonts w:ascii="Titillium" w:hAnsi="Titillium"/>
                          <w:sz w:val="20"/>
                          <w:szCs w:val="20"/>
                        </w:rPr>
                        <w:t>Anglais professionnel</w:t>
                      </w:r>
                    </w:p>
                    <w:p w14:paraId="5E0A2A98" w14:textId="0FE359DB" w:rsidR="007404FE" w:rsidRDefault="007404FE" w:rsidP="007404FE">
                      <w:pPr>
                        <w:pStyle w:val="Paragraphedeliste"/>
                        <w:numPr>
                          <w:ilvl w:val="0"/>
                          <w:numId w:val="24"/>
                        </w:numPr>
                        <w:rPr>
                          <w:rFonts w:ascii="Titillium" w:hAnsi="Titillium"/>
                          <w:sz w:val="20"/>
                          <w:szCs w:val="20"/>
                        </w:rPr>
                      </w:pPr>
                      <w:r>
                        <w:rPr>
                          <w:rFonts w:ascii="Titillium" w:hAnsi="Titillium"/>
                          <w:sz w:val="20"/>
                          <w:szCs w:val="20"/>
                        </w:rPr>
                        <w:t>Capacité de rédaction</w:t>
                      </w:r>
                    </w:p>
                    <w:p w14:paraId="6DC3E98B" w14:textId="1FFAF0D1" w:rsidR="007404FE" w:rsidRPr="007404FE" w:rsidRDefault="007404FE" w:rsidP="007404FE">
                      <w:pPr>
                        <w:pStyle w:val="Paragraphedeliste"/>
                        <w:numPr>
                          <w:ilvl w:val="0"/>
                          <w:numId w:val="24"/>
                        </w:numPr>
                        <w:rPr>
                          <w:rFonts w:ascii="Titillium" w:hAnsi="Titillium"/>
                          <w:sz w:val="20"/>
                          <w:szCs w:val="20"/>
                        </w:rPr>
                      </w:pPr>
                      <w:r>
                        <w:rPr>
                          <w:rFonts w:ascii="Titillium" w:hAnsi="Titillium"/>
                          <w:sz w:val="20"/>
                          <w:szCs w:val="20"/>
                        </w:rPr>
                        <w:t>Bon relationnel</w:t>
                      </w:r>
                    </w:p>
                    <w:p w14:paraId="456B0560" w14:textId="78F535A0" w:rsidR="007404FE" w:rsidRPr="007404FE" w:rsidRDefault="007404FE" w:rsidP="007404FE">
                      <w:pPr>
                        <w:spacing w:before="100" w:beforeAutospacing="1" w:after="100" w:afterAutospacing="1"/>
                        <w:ind w:hanging="360"/>
                        <w:rPr>
                          <w:rFonts w:ascii="Times New Roman" w:eastAsia="Times New Roman" w:hAnsi="Times New Roman" w:cs="Times New Roman"/>
                        </w:rPr>
                      </w:pPr>
                      <w:r w:rsidRPr="007404FE">
                        <w:rPr>
                          <w:rFonts w:ascii="Times New Roman" w:eastAsia="Times New Roman" w:hAnsi="Times New Roman" w:cs="Times New Roman"/>
                          <w:sz w:val="14"/>
                          <w:szCs w:val="14"/>
                        </w:rPr>
                        <w:t xml:space="preserve">   </w:t>
                      </w:r>
                      <w:bookmarkStart w:id="1" w:name="_GoBack"/>
                      <w:bookmarkEnd w:id="1"/>
                    </w:p>
                    <w:p w14:paraId="53E24B9A" w14:textId="77777777" w:rsidR="00CB6FC7" w:rsidRPr="00F6124C" w:rsidRDefault="00CB6FC7" w:rsidP="00CB6FC7">
                      <w:pPr>
                        <w:rPr>
                          <w:rFonts w:ascii="Titillium" w:hAnsi="Titillium"/>
                          <w:sz w:val="20"/>
                          <w:szCs w:val="20"/>
                        </w:rPr>
                      </w:pPr>
                    </w:p>
                    <w:p w14:paraId="6D1A1E3C" w14:textId="77777777" w:rsidR="00CB6FC7" w:rsidRPr="00787DD2" w:rsidRDefault="00CB6FC7" w:rsidP="00CB6FC7">
                      <w:pPr>
                        <w:rPr>
                          <w:rFonts w:ascii="Titillium" w:hAnsi="Titillium"/>
                          <w:sz w:val="20"/>
                          <w:szCs w:val="20"/>
                        </w:rPr>
                      </w:pPr>
                    </w:p>
                    <w:p w14:paraId="1E06E7D3" w14:textId="77777777" w:rsidR="00CB6FC7" w:rsidRPr="00D652F8" w:rsidRDefault="00CB6FC7" w:rsidP="00CB6FC7">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CB6FC7" w:rsidRPr="00D652F8" w14:paraId="139E690B" w14:textId="77777777">
                        <w:trPr>
                          <w:trHeight w:val="465"/>
                        </w:trPr>
                        <w:tc>
                          <w:tcPr>
                            <w:tcW w:w="6888" w:type="dxa"/>
                          </w:tcPr>
                          <w:p w14:paraId="09F83F3B" w14:textId="77777777" w:rsidR="00CB6FC7" w:rsidRPr="009051CD" w:rsidRDefault="00CB6FC7" w:rsidP="009051CD">
                            <w:pPr>
                              <w:rPr>
                                <w:rFonts w:ascii="Titillium" w:hAnsi="Titillium"/>
                                <w:sz w:val="20"/>
                                <w:szCs w:val="20"/>
                              </w:rPr>
                            </w:pPr>
                          </w:p>
                        </w:tc>
                      </w:tr>
                    </w:tbl>
                    <w:p w14:paraId="3F307DB9" w14:textId="77777777" w:rsidR="00CB6FC7" w:rsidRPr="001C5D36" w:rsidRDefault="00CB6FC7" w:rsidP="00CB6FC7">
                      <w:pPr>
                        <w:rPr>
                          <w:rFonts w:ascii="Arial" w:hAnsi="Arial"/>
                          <w:b/>
                          <w:sz w:val="20"/>
                          <w:szCs w:val="20"/>
                        </w:rPr>
                      </w:pPr>
                    </w:p>
                  </w:txbxContent>
                </v:textbox>
                <w10:wrap anchorx="page" anchory="page"/>
              </v:shape>
            </w:pict>
          </mc:Fallback>
        </mc:AlternateContent>
      </w:r>
    </w:p>
    <w:p w14:paraId="561CC3B4" w14:textId="77777777" w:rsidR="00025BE8" w:rsidRDefault="00025BE8" w:rsidP="00025BE8">
      <w:pPr>
        <w:tabs>
          <w:tab w:val="left" w:pos="4299"/>
        </w:tabs>
      </w:pPr>
    </w:p>
    <w:p w14:paraId="486D07AB" w14:textId="105F3085" w:rsidR="00025BE8" w:rsidRDefault="00025BE8" w:rsidP="00025BE8">
      <w:pPr>
        <w:tabs>
          <w:tab w:val="left" w:pos="4299"/>
        </w:tabs>
      </w:pPr>
    </w:p>
    <w:sectPr w:rsidR="00025BE8" w:rsidSect="00F560AD">
      <w:headerReference w:type="even" r:id="rId11"/>
      <w:headerReference w:type="default" r:id="rId12"/>
      <w:footerReference w:type="even" r:id="rId13"/>
      <w:footerReference w:type="default" r:id="rId14"/>
      <w:headerReference w:type="first" r:id="rId15"/>
      <w:footerReference w:type="first" r:id="rId16"/>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D42C" w14:textId="77777777" w:rsidR="00992C14" w:rsidRDefault="00992C14" w:rsidP="00F560AD">
      <w:r>
        <w:separator/>
      </w:r>
    </w:p>
  </w:endnote>
  <w:endnote w:type="continuationSeparator" w:id="0">
    <w:p w14:paraId="2DBE8FD9" w14:textId="77777777" w:rsidR="00992C14" w:rsidRDefault="00992C14" w:rsidP="00F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tillium">
    <w:panose1 w:val="00000000000000000000"/>
    <w:charset w:val="00"/>
    <w:family w:val="modern"/>
    <w:notTrueType/>
    <w:pitch w:val="variable"/>
    <w:sig w:usb0="00000007" w:usb1="00000001" w:usb2="00000000" w:usb3="00000000" w:csb0="00000093" w:csb1="00000000"/>
  </w:font>
  <w:font w:name="Titillium WebRegular">
    <w:altName w:val="Times New Roman"/>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1584" w14:textId="77777777" w:rsidR="008C7B06" w:rsidRDefault="008C7B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37A1" w14:textId="77777777" w:rsidR="008C7B06" w:rsidRDefault="008C7B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6BC6" w14:textId="77777777" w:rsidR="008C7B06" w:rsidRDefault="008C7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D51D" w14:textId="77777777" w:rsidR="00992C14" w:rsidRDefault="00992C14" w:rsidP="00F560AD">
      <w:r>
        <w:separator/>
      </w:r>
    </w:p>
  </w:footnote>
  <w:footnote w:type="continuationSeparator" w:id="0">
    <w:p w14:paraId="48BFBFD0" w14:textId="77777777" w:rsidR="00992C14" w:rsidRDefault="00992C14" w:rsidP="00F5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0750" w14:textId="77777777" w:rsidR="008C7B06" w:rsidRDefault="008C7B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8267" w14:textId="55E45092" w:rsidR="00EA45B6" w:rsidRDefault="00B05037">
    <w:pPr>
      <w:pStyle w:val="En-tte"/>
    </w:pPr>
    <w:r>
      <w:rPr>
        <w:noProof/>
      </w:rPr>
      <w:drawing>
        <wp:anchor distT="0" distB="0" distL="114300" distR="114300" simplePos="0" relativeHeight="251658240" behindDoc="1" locked="0" layoutInCell="1" allowOverlap="1" wp14:anchorId="22AA1CF1" wp14:editId="5AD6A694">
          <wp:simplePos x="0" y="0"/>
          <wp:positionH relativeFrom="column">
            <wp:posOffset>-422909</wp:posOffset>
          </wp:positionH>
          <wp:positionV relativeFrom="paragraph">
            <wp:posOffset>-360045</wp:posOffset>
          </wp:positionV>
          <wp:extent cx="7657514" cy="10835040"/>
          <wp:effectExtent l="0" t="0" r="0"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CNA4portrait.pdf"/>
                  <pic:cNvPicPr/>
                </pic:nvPicPr>
                <pic:blipFill>
                  <a:blip r:embed="rId1">
                    <a:extLst>
                      <a:ext uri="{28A0092B-C50C-407E-A947-70E740481C1C}">
                        <a14:useLocalDpi xmlns:a14="http://schemas.microsoft.com/office/drawing/2010/main" val="0"/>
                      </a:ext>
                    </a:extLst>
                  </a:blip>
                  <a:stretch>
                    <a:fillRect/>
                  </a:stretch>
                </pic:blipFill>
                <pic:spPr>
                  <a:xfrm>
                    <a:off x="0" y="0"/>
                    <a:ext cx="7657514" cy="10835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374D" w14:textId="77777777" w:rsidR="008C7B06" w:rsidRDefault="008C7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45FE"/>
    <w:multiLevelType w:val="hybridMultilevel"/>
    <w:tmpl w:val="FAAE756E"/>
    <w:lvl w:ilvl="0" w:tplc="1980982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555D7F"/>
    <w:multiLevelType w:val="multilevel"/>
    <w:tmpl w:val="5B0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87885"/>
    <w:multiLevelType w:val="hybridMultilevel"/>
    <w:tmpl w:val="386CF30E"/>
    <w:lvl w:ilvl="0" w:tplc="85FC82B0">
      <w:numFmt w:val="bullet"/>
      <w:lvlText w:val="-"/>
      <w:lvlJc w:val="left"/>
      <w:pPr>
        <w:ind w:left="720" w:hanging="360"/>
      </w:pPr>
      <w:rPr>
        <w:rFonts w:ascii="Arial" w:eastAsiaTheme="minorHAnsi" w:hAnsi="Arial" w:cs="Arial"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5947D9"/>
    <w:multiLevelType w:val="hybridMultilevel"/>
    <w:tmpl w:val="3808D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1C5DF9"/>
    <w:multiLevelType w:val="hybridMultilevel"/>
    <w:tmpl w:val="A30C8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E71898"/>
    <w:multiLevelType w:val="hybridMultilevel"/>
    <w:tmpl w:val="66B0D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252EC9"/>
    <w:multiLevelType w:val="hybridMultilevel"/>
    <w:tmpl w:val="29921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BD63EF"/>
    <w:multiLevelType w:val="hybridMultilevel"/>
    <w:tmpl w:val="2F8C9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B93D2E"/>
    <w:multiLevelType w:val="hybridMultilevel"/>
    <w:tmpl w:val="76EE1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2C7A80"/>
    <w:multiLevelType w:val="multilevel"/>
    <w:tmpl w:val="B5A4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3227BC"/>
    <w:multiLevelType w:val="hybridMultilevel"/>
    <w:tmpl w:val="246454C8"/>
    <w:lvl w:ilvl="0" w:tplc="BCE8A6B6">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3F3520D"/>
    <w:multiLevelType w:val="hybridMultilevel"/>
    <w:tmpl w:val="53A8C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284ED0"/>
    <w:multiLevelType w:val="multilevel"/>
    <w:tmpl w:val="7AC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A8397E"/>
    <w:multiLevelType w:val="hybridMultilevel"/>
    <w:tmpl w:val="B8FC2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CA919CC"/>
    <w:multiLevelType w:val="multilevel"/>
    <w:tmpl w:val="9E0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470793"/>
    <w:multiLevelType w:val="hybridMultilevel"/>
    <w:tmpl w:val="87AA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6507EC"/>
    <w:multiLevelType w:val="multilevel"/>
    <w:tmpl w:val="42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432654"/>
    <w:multiLevelType w:val="hybridMultilevel"/>
    <w:tmpl w:val="27425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A868EE"/>
    <w:multiLevelType w:val="hybridMultilevel"/>
    <w:tmpl w:val="6BB21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5D6FF2"/>
    <w:multiLevelType w:val="hybridMultilevel"/>
    <w:tmpl w:val="E6D05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A22EF8"/>
    <w:multiLevelType w:val="hybridMultilevel"/>
    <w:tmpl w:val="2342F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390399B"/>
    <w:multiLevelType w:val="multilevel"/>
    <w:tmpl w:val="5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0108AA"/>
    <w:multiLevelType w:val="multilevel"/>
    <w:tmpl w:val="39C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2E6D5B"/>
    <w:multiLevelType w:val="multilevel"/>
    <w:tmpl w:val="029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1"/>
  </w:num>
  <w:num w:numId="3">
    <w:abstractNumId w:val="16"/>
  </w:num>
  <w:num w:numId="4">
    <w:abstractNumId w:val="22"/>
  </w:num>
  <w:num w:numId="5">
    <w:abstractNumId w:val="12"/>
  </w:num>
  <w:num w:numId="6">
    <w:abstractNumId w:val="14"/>
  </w:num>
  <w:num w:numId="7">
    <w:abstractNumId w:val="23"/>
  </w:num>
  <w:num w:numId="8">
    <w:abstractNumId w:val="18"/>
  </w:num>
  <w:num w:numId="9">
    <w:abstractNumId w:val="2"/>
  </w:num>
  <w:num w:numId="10">
    <w:abstractNumId w:val="13"/>
  </w:num>
  <w:num w:numId="11">
    <w:abstractNumId w:val="11"/>
  </w:num>
  <w:num w:numId="12">
    <w:abstractNumId w:val="7"/>
  </w:num>
  <w:num w:numId="13">
    <w:abstractNumId w:val="9"/>
  </w:num>
  <w:num w:numId="14">
    <w:abstractNumId w:val="17"/>
  </w:num>
  <w:num w:numId="15">
    <w:abstractNumId w:val="10"/>
  </w:num>
  <w:num w:numId="16">
    <w:abstractNumId w:val="6"/>
  </w:num>
  <w:num w:numId="17">
    <w:abstractNumId w:val="0"/>
  </w:num>
  <w:num w:numId="18">
    <w:abstractNumId w:val="20"/>
  </w:num>
  <w:num w:numId="19">
    <w:abstractNumId w:val="4"/>
  </w:num>
  <w:num w:numId="20">
    <w:abstractNumId w:val="19"/>
  </w:num>
  <w:num w:numId="21">
    <w:abstractNumId w:val="15"/>
  </w:num>
  <w:num w:numId="22">
    <w:abstractNumId w:val="5"/>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D"/>
    <w:rsid w:val="00025BE8"/>
    <w:rsid w:val="0008336F"/>
    <w:rsid w:val="000A6948"/>
    <w:rsid w:val="001032F2"/>
    <w:rsid w:val="00105E2C"/>
    <w:rsid w:val="001B06B9"/>
    <w:rsid w:val="001C5D36"/>
    <w:rsid w:val="001E5F4F"/>
    <w:rsid w:val="00267C89"/>
    <w:rsid w:val="003110EB"/>
    <w:rsid w:val="00320884"/>
    <w:rsid w:val="00365127"/>
    <w:rsid w:val="003A3E46"/>
    <w:rsid w:val="004127D9"/>
    <w:rsid w:val="00426122"/>
    <w:rsid w:val="004F5CCA"/>
    <w:rsid w:val="00500E1D"/>
    <w:rsid w:val="00514DC8"/>
    <w:rsid w:val="00523DE1"/>
    <w:rsid w:val="00586740"/>
    <w:rsid w:val="00595E06"/>
    <w:rsid w:val="005B3CF6"/>
    <w:rsid w:val="005C0EAE"/>
    <w:rsid w:val="005F7AF5"/>
    <w:rsid w:val="006F2D32"/>
    <w:rsid w:val="007404FE"/>
    <w:rsid w:val="007544D5"/>
    <w:rsid w:val="00775128"/>
    <w:rsid w:val="00787DD2"/>
    <w:rsid w:val="007F2844"/>
    <w:rsid w:val="008128E4"/>
    <w:rsid w:val="008C7B06"/>
    <w:rsid w:val="009051CD"/>
    <w:rsid w:val="00992C14"/>
    <w:rsid w:val="00AA1281"/>
    <w:rsid w:val="00B05037"/>
    <w:rsid w:val="00BA417F"/>
    <w:rsid w:val="00BF0287"/>
    <w:rsid w:val="00CB1A33"/>
    <w:rsid w:val="00CB6FC7"/>
    <w:rsid w:val="00CF0EE6"/>
    <w:rsid w:val="00D652F8"/>
    <w:rsid w:val="00DC6BEC"/>
    <w:rsid w:val="00EA45B6"/>
    <w:rsid w:val="00EF2B8B"/>
    <w:rsid w:val="00F560AD"/>
    <w:rsid w:val="00F6124C"/>
    <w:rsid w:val="00F61A43"/>
    <w:rsid w:val="00FB73A1"/>
    <w:rsid w:val="00FD4FCB"/>
    <w:rsid w:val="00FF1F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D432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9489">
      <w:bodyDiv w:val="1"/>
      <w:marLeft w:val="0"/>
      <w:marRight w:val="0"/>
      <w:marTop w:val="0"/>
      <w:marBottom w:val="0"/>
      <w:divBdr>
        <w:top w:val="none" w:sz="0" w:space="0" w:color="auto"/>
        <w:left w:val="none" w:sz="0" w:space="0" w:color="auto"/>
        <w:bottom w:val="none" w:sz="0" w:space="0" w:color="auto"/>
        <w:right w:val="none" w:sz="0" w:space="0" w:color="auto"/>
      </w:divBdr>
    </w:div>
    <w:div w:id="84956536">
      <w:bodyDiv w:val="1"/>
      <w:marLeft w:val="0"/>
      <w:marRight w:val="0"/>
      <w:marTop w:val="0"/>
      <w:marBottom w:val="0"/>
      <w:divBdr>
        <w:top w:val="none" w:sz="0" w:space="0" w:color="auto"/>
        <w:left w:val="none" w:sz="0" w:space="0" w:color="auto"/>
        <w:bottom w:val="none" w:sz="0" w:space="0" w:color="auto"/>
        <w:right w:val="none" w:sz="0" w:space="0" w:color="auto"/>
      </w:divBdr>
    </w:div>
    <w:div w:id="143396212">
      <w:bodyDiv w:val="1"/>
      <w:marLeft w:val="0"/>
      <w:marRight w:val="0"/>
      <w:marTop w:val="0"/>
      <w:marBottom w:val="0"/>
      <w:divBdr>
        <w:top w:val="none" w:sz="0" w:space="0" w:color="auto"/>
        <w:left w:val="none" w:sz="0" w:space="0" w:color="auto"/>
        <w:bottom w:val="none" w:sz="0" w:space="0" w:color="auto"/>
        <w:right w:val="none" w:sz="0" w:space="0" w:color="auto"/>
      </w:divBdr>
    </w:div>
    <w:div w:id="637490051">
      <w:bodyDiv w:val="1"/>
      <w:marLeft w:val="0"/>
      <w:marRight w:val="0"/>
      <w:marTop w:val="0"/>
      <w:marBottom w:val="0"/>
      <w:divBdr>
        <w:top w:val="none" w:sz="0" w:space="0" w:color="auto"/>
        <w:left w:val="none" w:sz="0" w:space="0" w:color="auto"/>
        <w:bottom w:val="none" w:sz="0" w:space="0" w:color="auto"/>
        <w:right w:val="none" w:sz="0" w:space="0" w:color="auto"/>
      </w:divBdr>
    </w:div>
    <w:div w:id="717582824">
      <w:bodyDiv w:val="1"/>
      <w:marLeft w:val="0"/>
      <w:marRight w:val="0"/>
      <w:marTop w:val="0"/>
      <w:marBottom w:val="0"/>
      <w:divBdr>
        <w:top w:val="none" w:sz="0" w:space="0" w:color="auto"/>
        <w:left w:val="none" w:sz="0" w:space="0" w:color="auto"/>
        <w:bottom w:val="none" w:sz="0" w:space="0" w:color="auto"/>
        <w:right w:val="none" w:sz="0" w:space="0" w:color="auto"/>
      </w:divBdr>
    </w:div>
    <w:div w:id="719861669">
      <w:bodyDiv w:val="1"/>
      <w:marLeft w:val="0"/>
      <w:marRight w:val="0"/>
      <w:marTop w:val="0"/>
      <w:marBottom w:val="0"/>
      <w:divBdr>
        <w:top w:val="none" w:sz="0" w:space="0" w:color="auto"/>
        <w:left w:val="none" w:sz="0" w:space="0" w:color="auto"/>
        <w:bottom w:val="none" w:sz="0" w:space="0" w:color="auto"/>
        <w:right w:val="none" w:sz="0" w:space="0" w:color="auto"/>
      </w:divBdr>
    </w:div>
    <w:div w:id="919019966">
      <w:bodyDiv w:val="1"/>
      <w:marLeft w:val="0"/>
      <w:marRight w:val="0"/>
      <w:marTop w:val="0"/>
      <w:marBottom w:val="0"/>
      <w:divBdr>
        <w:top w:val="none" w:sz="0" w:space="0" w:color="auto"/>
        <w:left w:val="none" w:sz="0" w:space="0" w:color="auto"/>
        <w:bottom w:val="none" w:sz="0" w:space="0" w:color="auto"/>
        <w:right w:val="none" w:sz="0" w:space="0" w:color="auto"/>
      </w:divBdr>
    </w:div>
    <w:div w:id="1137793308">
      <w:bodyDiv w:val="1"/>
      <w:marLeft w:val="0"/>
      <w:marRight w:val="0"/>
      <w:marTop w:val="0"/>
      <w:marBottom w:val="0"/>
      <w:divBdr>
        <w:top w:val="none" w:sz="0" w:space="0" w:color="auto"/>
        <w:left w:val="none" w:sz="0" w:space="0" w:color="auto"/>
        <w:bottom w:val="none" w:sz="0" w:space="0" w:color="auto"/>
        <w:right w:val="none" w:sz="0" w:space="0" w:color="auto"/>
      </w:divBdr>
      <w:divsChild>
        <w:div w:id="368340124">
          <w:marLeft w:val="0"/>
          <w:marRight w:val="0"/>
          <w:marTop w:val="0"/>
          <w:marBottom w:val="0"/>
          <w:divBdr>
            <w:top w:val="none" w:sz="0" w:space="0" w:color="auto"/>
            <w:left w:val="none" w:sz="0" w:space="0" w:color="auto"/>
            <w:bottom w:val="none" w:sz="0" w:space="0" w:color="auto"/>
            <w:right w:val="none" w:sz="0" w:space="0" w:color="auto"/>
          </w:divBdr>
        </w:div>
      </w:divsChild>
    </w:div>
    <w:div w:id="1177578029">
      <w:bodyDiv w:val="1"/>
      <w:marLeft w:val="0"/>
      <w:marRight w:val="0"/>
      <w:marTop w:val="0"/>
      <w:marBottom w:val="0"/>
      <w:divBdr>
        <w:top w:val="none" w:sz="0" w:space="0" w:color="auto"/>
        <w:left w:val="none" w:sz="0" w:space="0" w:color="auto"/>
        <w:bottom w:val="none" w:sz="0" w:space="0" w:color="auto"/>
        <w:right w:val="none" w:sz="0" w:space="0" w:color="auto"/>
      </w:divBdr>
    </w:div>
    <w:div w:id="1350914307">
      <w:bodyDiv w:val="1"/>
      <w:marLeft w:val="0"/>
      <w:marRight w:val="0"/>
      <w:marTop w:val="0"/>
      <w:marBottom w:val="0"/>
      <w:divBdr>
        <w:top w:val="none" w:sz="0" w:space="0" w:color="auto"/>
        <w:left w:val="none" w:sz="0" w:space="0" w:color="auto"/>
        <w:bottom w:val="none" w:sz="0" w:space="0" w:color="auto"/>
        <w:right w:val="none" w:sz="0" w:space="0" w:color="auto"/>
      </w:divBdr>
    </w:div>
    <w:div w:id="1360007186">
      <w:bodyDiv w:val="1"/>
      <w:marLeft w:val="0"/>
      <w:marRight w:val="0"/>
      <w:marTop w:val="0"/>
      <w:marBottom w:val="0"/>
      <w:divBdr>
        <w:top w:val="none" w:sz="0" w:space="0" w:color="auto"/>
        <w:left w:val="none" w:sz="0" w:space="0" w:color="auto"/>
        <w:bottom w:val="none" w:sz="0" w:space="0" w:color="auto"/>
        <w:right w:val="none" w:sz="0" w:space="0" w:color="auto"/>
      </w:divBdr>
    </w:div>
    <w:div w:id="1507749112">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81600675">
      <w:bodyDiv w:val="1"/>
      <w:marLeft w:val="0"/>
      <w:marRight w:val="0"/>
      <w:marTop w:val="0"/>
      <w:marBottom w:val="0"/>
      <w:divBdr>
        <w:top w:val="none" w:sz="0" w:space="0" w:color="auto"/>
        <w:left w:val="none" w:sz="0" w:space="0" w:color="auto"/>
        <w:bottom w:val="none" w:sz="0" w:space="0" w:color="auto"/>
        <w:right w:val="none" w:sz="0" w:space="0" w:color="auto"/>
      </w:divBdr>
    </w:div>
    <w:div w:id="1892961347">
      <w:bodyDiv w:val="1"/>
      <w:marLeft w:val="0"/>
      <w:marRight w:val="0"/>
      <w:marTop w:val="0"/>
      <w:marBottom w:val="0"/>
      <w:divBdr>
        <w:top w:val="none" w:sz="0" w:space="0" w:color="auto"/>
        <w:left w:val="none" w:sz="0" w:space="0" w:color="auto"/>
        <w:bottom w:val="none" w:sz="0" w:space="0" w:color="auto"/>
        <w:right w:val="none" w:sz="0" w:space="0" w:color="auto"/>
      </w:divBdr>
    </w:div>
    <w:div w:id="1946158326">
      <w:bodyDiv w:val="1"/>
      <w:marLeft w:val="0"/>
      <w:marRight w:val="0"/>
      <w:marTop w:val="0"/>
      <w:marBottom w:val="0"/>
      <w:divBdr>
        <w:top w:val="none" w:sz="0" w:space="0" w:color="auto"/>
        <w:left w:val="none" w:sz="0" w:space="0" w:color="auto"/>
        <w:bottom w:val="none" w:sz="0" w:space="0" w:color="auto"/>
        <w:right w:val="none" w:sz="0" w:space="0" w:color="auto"/>
      </w:divBdr>
    </w:div>
    <w:div w:id="1988169168">
      <w:bodyDiv w:val="1"/>
      <w:marLeft w:val="0"/>
      <w:marRight w:val="0"/>
      <w:marTop w:val="0"/>
      <w:marBottom w:val="0"/>
      <w:divBdr>
        <w:top w:val="none" w:sz="0" w:space="0" w:color="auto"/>
        <w:left w:val="none" w:sz="0" w:space="0" w:color="auto"/>
        <w:bottom w:val="none" w:sz="0" w:space="0" w:color="auto"/>
        <w:right w:val="none" w:sz="0" w:space="0" w:color="auto"/>
      </w:divBdr>
    </w:div>
    <w:div w:id="204003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ura.khermouche@ec-nantes.fr" TargetMode="External"/><Relationship Id="rId4" Type="http://schemas.openxmlformats.org/officeDocument/2006/relationships/settings" Target="settings.xml"/><Relationship Id="rId9" Type="http://schemas.openxmlformats.org/officeDocument/2006/relationships/hyperlink" Target="mailto:noura.khermouche@ec-nantes.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9</Words>
  <Characters>55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Moswo</Company>
  <LinksUpToDate>false</LinksUpToDate>
  <CharactersWithSpaces>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Khermouche Noura</cp:lastModifiedBy>
  <cp:revision>29</cp:revision>
  <dcterms:created xsi:type="dcterms:W3CDTF">2017-04-27T13:14:00Z</dcterms:created>
  <dcterms:modified xsi:type="dcterms:W3CDTF">2017-09-06T14:31:00Z</dcterms:modified>
</cp:coreProperties>
</file>