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68B436B8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C37157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Intégration Java</w:t>
                            </w:r>
                            <w:bookmarkStart w:id="0" w:name="_GoBack"/>
                            <w:bookmarkEnd w:id="0"/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68B436B8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C37157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Intégration Java</w:t>
                      </w:r>
                      <w:bookmarkStart w:id="1" w:name="_GoBack"/>
                      <w:bookmarkEnd w:id="1"/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13A4A746" w:rsidR="00025BE8" w:rsidRPr="00025BE8" w:rsidRDefault="00025BE8" w:rsidP="00025BE8"/>
    <w:p w14:paraId="141FC9F9" w14:textId="2EB1D5C3" w:rsidR="00787DD2" w:rsidRDefault="00D824CE" w:rsidP="00025BE8">
      <w:pPr>
        <w:rPr>
          <w:noProof/>
        </w:rPr>
      </w:pP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4407C503" wp14:editId="740CC570">
            <wp:simplePos x="0" y="0"/>
            <wp:positionH relativeFrom="column">
              <wp:posOffset>3369863</wp:posOffset>
            </wp:positionH>
            <wp:positionV relativeFrom="paragraph">
              <wp:posOffset>4804</wp:posOffset>
            </wp:positionV>
            <wp:extent cx="1715770" cy="8680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32B01DA3" w:rsidR="00025BE8" w:rsidRPr="00025BE8" w:rsidRDefault="00025BE8" w:rsidP="00025BE8"/>
    <w:p w14:paraId="2D0246D5" w14:textId="325AD993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30F45DD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La Banque Postale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13839ABA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Nantes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30F45DD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824CE">
                        <w:rPr>
                          <w:rFonts w:ascii="Titillium" w:hAnsi="Titillium"/>
                          <w:sz w:val="20"/>
                          <w:szCs w:val="20"/>
                        </w:rPr>
                        <w:t>La Banque Postale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13839ABA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824CE">
                        <w:rPr>
                          <w:rFonts w:ascii="Titillium" w:hAnsi="Titillium"/>
                          <w:sz w:val="20"/>
                          <w:szCs w:val="20"/>
                        </w:rPr>
                        <w:t>Nantes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D3DC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Vous désirez relever de nouveaux défis au sein d’une équipe d’experts.</w:t>
                            </w:r>
                          </w:p>
                          <w:p w14:paraId="568C6FFE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B151A4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Venez bénéficier de l’accompagnement de tuteurs confirmés et </w:t>
                            </w:r>
                            <w:proofErr w:type="gramStart"/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impliqués!</w:t>
                            </w:r>
                            <w:proofErr w:type="gramEnd"/>
                          </w:p>
                          <w:p w14:paraId="0195EFC7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1C47AF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Rejoindre La Poste c'est choisir un employeur de référence développeur de talents.</w:t>
                            </w:r>
                          </w:p>
                          <w:p w14:paraId="07F6ECBB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Le Groupe La Poste vous offre des missions synonymes de mobilité et de diversité, à l'image de ses 260 000 collaborateurs répartis sur 250 filiales. </w:t>
                            </w:r>
                          </w:p>
                          <w:p w14:paraId="2C9CBB75" w14:textId="2A934A5D" w:rsidR="001032F2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Vous intégrerez la Direction des Systèmes d’information de La Banque Postale et du Réseau La Poste. Les projets y sont riches et variés et visent à accompagner la transformation du Groupe La Poste. Vous collaborerez avec de nombreuses entités du sein du Groupe.</w:t>
                            </w:r>
                          </w:p>
                          <w:p w14:paraId="0AC1F598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C1DEB92" w14:textId="77777777" w:rsidR="00041563" w:rsidRPr="00041563" w:rsidRDefault="00041563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Contexte</w:t>
                            </w:r>
                            <w:r w:rsidRPr="000415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 Le SI des Agences Postales Communales (APC</w:t>
                            </w:r>
                            <w:proofErr w:type="gramStart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)  qui</w:t>
                            </w:r>
                            <w:proofErr w:type="gramEnd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représente à ce jour plus de 5600 entités.</w:t>
                            </w:r>
                          </w:p>
                          <w:p w14:paraId="32E319CE" w14:textId="77777777" w:rsidR="00041563" w:rsidRPr="00041563" w:rsidRDefault="00041563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D61BE8A" w14:textId="74CF40E5" w:rsidR="00041563" w:rsidRPr="00041563" w:rsidRDefault="00041563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Dans ce cadre, la mission consiste à apporter son assistance technique pour le projet, en prenant en charge, tout ou partie des tâches techniques relatives au projet</w:t>
                            </w:r>
                            <w:r w:rsidRPr="000415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9D791A5" w14:textId="77777777" w:rsidR="00041563" w:rsidRPr="00041563" w:rsidRDefault="00041563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DFB34CB" w14:textId="77FB7C14" w:rsidR="00041563" w:rsidRPr="00041563" w:rsidRDefault="00041563" w:rsidP="0004156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Gestion des versions 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logicielles</w:t>
                            </w:r>
                          </w:p>
                          <w:p w14:paraId="49251F05" w14:textId="77777777" w:rsidR="00041563" w:rsidRP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Réception livraisons de la part de l’équipe développeurs</w:t>
                            </w:r>
                          </w:p>
                          <w:p w14:paraId="3023E366" w14:textId="3792A758" w:rsidR="00041563" w:rsidRP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Intégration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déploiement sur les </w:t>
                            </w:r>
                            <w:proofErr w:type="gramStart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environnements  amont</w:t>
                            </w:r>
                            <w:proofErr w:type="gramEnd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(recette MOE et recette MOA)</w:t>
                            </w:r>
                          </w:p>
                          <w:p w14:paraId="6BD79F10" w14:textId="77777777" w:rsidR="00041563" w:rsidRP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Livraison à la Production</w:t>
                            </w:r>
                          </w:p>
                          <w:p w14:paraId="49FE0EF1" w14:textId="77777777" w:rsid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Suivi des anomalies techniques et d'intégrations  </w:t>
                            </w:r>
                          </w:p>
                          <w:p w14:paraId="373EDFB0" w14:textId="77777777" w:rsidR="00041563" w:rsidRPr="00041563" w:rsidRDefault="00041563" w:rsidP="00041563">
                            <w:pPr>
                              <w:ind w:left="144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28FFD35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Gestion des adhérences au poste de travail </w:t>
                            </w:r>
                          </w:p>
                          <w:p w14:paraId="58F1A2EF" w14:textId="77777777" w:rsidR="00041563" w:rsidRP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Analyse des impacts</w:t>
                            </w:r>
                          </w:p>
                          <w:p w14:paraId="49048C02" w14:textId="5280EE32" w:rsid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Prise en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compte des évolutions de socles (nouveaux périphériques, versions logicielles du socle</w:t>
                            </w:r>
                          </w:p>
                          <w:p w14:paraId="02182F85" w14:textId="77777777" w:rsidR="00041563" w:rsidRPr="00041563" w:rsidRDefault="00041563" w:rsidP="00041563">
                            <w:pPr>
                              <w:ind w:left="144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E7BF2C1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Suivi de production  </w:t>
                            </w:r>
                          </w:p>
                          <w:p w14:paraId="041CC1A4" w14:textId="77777777" w:rsidR="00041563" w:rsidRP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Analyse anomalies de production (</w:t>
                            </w:r>
                            <w:proofErr w:type="spellStart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batchs</w:t>
                            </w:r>
                            <w:proofErr w:type="spellEnd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et fonctionnelles)</w:t>
                            </w:r>
                          </w:p>
                          <w:p w14:paraId="5E3D56CA" w14:textId="77777777" w:rsid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Intervention sur les données si nécessaire</w:t>
                            </w:r>
                          </w:p>
                          <w:p w14:paraId="74E3A6DA" w14:textId="77777777" w:rsidR="00041563" w:rsidRPr="00041563" w:rsidRDefault="00041563" w:rsidP="00041563">
                            <w:pPr>
                              <w:ind w:left="144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23775A5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Evolutions fonctionnelles  </w:t>
                            </w:r>
                          </w:p>
                          <w:p w14:paraId="54A93B38" w14:textId="77777777" w:rsidR="00041563" w:rsidRDefault="00041563" w:rsidP="00041563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Participation aux campagnes de Recette </w:t>
                            </w:r>
                          </w:p>
                          <w:p w14:paraId="5C84F979" w14:textId="77777777" w:rsidR="00041563" w:rsidRPr="00041563" w:rsidRDefault="00041563" w:rsidP="00041563">
                            <w:pPr>
                              <w:ind w:left="144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B51ABFB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 à l’élaboration des dossiers d’architectures applicatives et technique</w:t>
                            </w:r>
                          </w:p>
                          <w:p w14:paraId="3A8CA1E1" w14:textId="3DB10BC9" w:rsidR="001032F2" w:rsidRPr="00D824CE" w:rsidRDefault="001032F2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4EC0D3DC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Vous désirez relever de nouveaux défis au sein d’une équipe d’experts.</w:t>
                      </w:r>
                    </w:p>
                    <w:p w14:paraId="568C6FFE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64B151A4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Venez bénéficier de l’accompagnement de tuteurs confirmés et impliqués!</w:t>
                      </w:r>
                    </w:p>
                    <w:p w14:paraId="0195EFC7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01C47AF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Rejoindre La Poste c'est choisir un employeur de référence développeur de talents.</w:t>
                      </w:r>
                    </w:p>
                    <w:p w14:paraId="07F6ECBB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Le Groupe La Poste vous offre des missions synonymes de mobilité et de diversité, à l'image de ses 260 000 collaborateurs répartis sur 250 filiales. </w:t>
                      </w:r>
                    </w:p>
                    <w:p w14:paraId="2C9CBB75" w14:textId="2A934A5D" w:rsidR="001032F2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Vous intégrerez la Direction des Systèmes d’information de La Banque Postale et du Réseau La Poste. Les projets y sont riches et variés et visent à accompagner la transformation du Groupe La Poste. Vous collaborerez avec de nombreuses entités du sein du Groupe.</w:t>
                      </w:r>
                    </w:p>
                    <w:p w14:paraId="0AC1F598" w14:textId="77777777" w:rsidR="00D824CE" w:rsidRDefault="00D824CE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C1DEB92" w14:textId="77777777" w:rsidR="00041563" w:rsidRPr="00041563" w:rsidRDefault="00041563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Contexte</w:t>
                      </w:r>
                      <w:r w:rsidRPr="000415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: Le SI des Agences Postales Communales (APC)  qui représente à ce jour plus de 5600 entités.</w:t>
                      </w:r>
                    </w:p>
                    <w:p w14:paraId="32E319CE" w14:textId="77777777" w:rsidR="00041563" w:rsidRPr="00041563" w:rsidRDefault="00041563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D61BE8A" w14:textId="74CF40E5" w:rsidR="00041563" w:rsidRPr="00041563" w:rsidRDefault="00041563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Dans ce cadre, la mission consiste à apporter son assistance technique pour le projet, en prenant en charge, tout ou partie des tâches techniques relatives au projet</w:t>
                      </w:r>
                      <w:r w:rsidRPr="000415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9D791A5" w14:textId="77777777" w:rsidR="00041563" w:rsidRPr="00041563" w:rsidRDefault="00041563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DFB34CB" w14:textId="77FB7C14" w:rsidR="00041563" w:rsidRPr="00041563" w:rsidRDefault="00041563" w:rsidP="00041563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Gestion des versions 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logicielles</w:t>
                      </w:r>
                    </w:p>
                    <w:p w14:paraId="49251F05" w14:textId="77777777" w:rsidR="00041563" w:rsidRP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Réception livraisons de la part de l’équipe développeurs</w:t>
                      </w:r>
                    </w:p>
                    <w:p w14:paraId="3023E366" w14:textId="3792A758" w:rsidR="00041563" w:rsidRP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Intégration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déploiement sur les environnements  amont (recette MOE et recette MOA)</w:t>
                      </w:r>
                    </w:p>
                    <w:p w14:paraId="6BD79F10" w14:textId="77777777" w:rsidR="00041563" w:rsidRP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Livraison à la Production</w:t>
                      </w:r>
                    </w:p>
                    <w:p w14:paraId="49FE0EF1" w14:textId="77777777" w:rsid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Suivi des anomalies techniques et d'intégrations  </w:t>
                      </w:r>
                    </w:p>
                    <w:p w14:paraId="373EDFB0" w14:textId="77777777" w:rsidR="00041563" w:rsidRPr="00041563" w:rsidRDefault="00041563" w:rsidP="00041563">
                      <w:pPr>
                        <w:ind w:left="144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28FFD35" w14:textId="77777777" w:rsidR="00041563" w:rsidRPr="00041563" w:rsidRDefault="00041563" w:rsidP="00041563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Gestion des adhérences au poste de travail </w:t>
                      </w:r>
                    </w:p>
                    <w:p w14:paraId="58F1A2EF" w14:textId="77777777" w:rsidR="00041563" w:rsidRP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Analyse des impacts</w:t>
                      </w:r>
                    </w:p>
                    <w:p w14:paraId="49048C02" w14:textId="5280EE32" w:rsid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Prise en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compte des évolutions de socles (nouveaux périphériques, versions logicielles du socle</w:t>
                      </w:r>
                    </w:p>
                    <w:p w14:paraId="02182F85" w14:textId="77777777" w:rsidR="00041563" w:rsidRPr="00041563" w:rsidRDefault="00041563" w:rsidP="00041563">
                      <w:pPr>
                        <w:ind w:left="144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E7BF2C1" w14:textId="77777777" w:rsidR="00041563" w:rsidRPr="00041563" w:rsidRDefault="00041563" w:rsidP="00041563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Suivi de production  </w:t>
                      </w:r>
                    </w:p>
                    <w:p w14:paraId="041CC1A4" w14:textId="77777777" w:rsidR="00041563" w:rsidRP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Analyse anomalies de production (batchs et fonctionnelles)</w:t>
                      </w:r>
                    </w:p>
                    <w:p w14:paraId="5E3D56CA" w14:textId="77777777" w:rsid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Intervention sur les données si nécessaire</w:t>
                      </w:r>
                    </w:p>
                    <w:p w14:paraId="74E3A6DA" w14:textId="77777777" w:rsidR="00041563" w:rsidRPr="00041563" w:rsidRDefault="00041563" w:rsidP="00041563">
                      <w:pPr>
                        <w:ind w:left="144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23775A5" w14:textId="77777777" w:rsidR="00041563" w:rsidRPr="00041563" w:rsidRDefault="00041563" w:rsidP="00041563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Evolutions fonctionnelles  </w:t>
                      </w:r>
                    </w:p>
                    <w:p w14:paraId="54A93B38" w14:textId="77777777" w:rsidR="00041563" w:rsidRDefault="00041563" w:rsidP="00041563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Participation aux campagnes de Recette </w:t>
                      </w:r>
                    </w:p>
                    <w:p w14:paraId="5C84F979" w14:textId="77777777" w:rsidR="00041563" w:rsidRPr="00041563" w:rsidRDefault="00041563" w:rsidP="00041563">
                      <w:pPr>
                        <w:ind w:left="144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B51ABFB" w14:textId="77777777" w:rsidR="00041563" w:rsidRPr="00041563" w:rsidRDefault="00041563" w:rsidP="00041563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Participe à l’élaboration des dossiers d’architectures applicatives et technique</w:t>
                      </w:r>
                    </w:p>
                    <w:p w14:paraId="3A8CA1E1" w14:textId="3DB10BC9" w:rsidR="001032F2" w:rsidRPr="00D824CE" w:rsidRDefault="001032F2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Default="00025BE8" w:rsidP="00025BE8"/>
    <w:p w14:paraId="621658E7" w14:textId="77777777" w:rsidR="00D824CE" w:rsidRPr="00025BE8" w:rsidRDefault="00D824CE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66A4FD91" w:rsidR="00025BE8" w:rsidRDefault="00D824CE" w:rsidP="00025BE8">
      <w:pPr>
        <w:tabs>
          <w:tab w:val="left" w:pos="429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094D1" wp14:editId="315DA571">
                <wp:simplePos x="0" y="0"/>
                <wp:positionH relativeFrom="page">
                  <wp:posOffset>2113722</wp:posOffset>
                </wp:positionH>
                <wp:positionV relativeFrom="page">
                  <wp:posOffset>1033670</wp:posOffset>
                </wp:positionV>
                <wp:extent cx="4859655" cy="3505200"/>
                <wp:effectExtent l="0" t="0" r="171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28D38" w14:textId="29326E05" w:rsidR="00D824CE" w:rsidRDefault="00041563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solution constituant le SI des Agences postales, repose sur des développements JAVA multi tiers, utilisant un serveur d’application WEBSPHERE, et avec </w:t>
                            </w:r>
                            <w:proofErr w:type="gramStart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persistance de données dans une base ORACLE, le tout dans un environnement hautement sécurisé et disponible</w:t>
                            </w:r>
                          </w:p>
                          <w:p w14:paraId="30E08592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055A4BA" w14:textId="77777777" w:rsidR="00D824CE" w:rsidRPr="00787DD2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209D5B46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843DCB1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Compétences UNIX souhaitées</w:t>
                            </w:r>
                          </w:p>
                          <w:p w14:paraId="0E7657AF" w14:textId="532B522F" w:rsidR="00041563" w:rsidRPr="00041563" w:rsidRDefault="00041563" w:rsidP="0004156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Serveur d’applications Java </w:t>
                            </w:r>
                            <w:proofErr w:type="spellStart"/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websphere</w:t>
                            </w:r>
                            <w:proofErr w:type="spellEnd"/>
                            <w:r w:rsidR="00CA23D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/</w:t>
                            </w:r>
                            <w:r w:rsidR="00CA23D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JBOSS</w:t>
                            </w:r>
                          </w:p>
                          <w:p w14:paraId="6D0E7ED5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Serveur SGBD ORACLE</w:t>
                            </w:r>
                          </w:p>
                          <w:p w14:paraId="60249C4D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Connaissances java et architecture J2E</w:t>
                            </w:r>
                          </w:p>
                          <w:p w14:paraId="778D179A" w14:textId="77777777" w:rsidR="00041563" w:rsidRPr="00041563" w:rsidRDefault="00041563" w:rsidP="0004156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4156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Connaissances Windows/HTML5/CSS/JQUERY  </w:t>
                            </w:r>
                          </w:p>
                          <w:p w14:paraId="437D26B4" w14:textId="77777777" w:rsidR="00D824CE" w:rsidRPr="00787DD2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342AFB1" w14:textId="77777777" w:rsidR="00D824CE" w:rsidRPr="00D652F8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824CE" w:rsidRPr="00D652F8" w14:paraId="5B48881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205AED26" w14:textId="77777777" w:rsidR="00D824CE" w:rsidRPr="009051CD" w:rsidRDefault="00D824CE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9F0E4" w14:textId="77777777" w:rsidR="00D824CE" w:rsidRPr="001C5D36" w:rsidRDefault="00D824CE" w:rsidP="00D824C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66.45pt;margin-top:81.4pt;width:382.65pt;height:27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" filled="f" stroked="f">
                <v:textbox inset="0,0,0,0">
                  <w:txbxContent>
                    <w:p w14:paraId="64B28D38" w14:textId="29326E05" w:rsidR="00D824CE" w:rsidRDefault="00041563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solution constituant le SI des Agences postales, repose sur des développements JAVA multi tiers, utilisant un serveur d’application WEBSPHERE, et avec </w:t>
                      </w:r>
                      <w:proofErr w:type="gramStart"/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persistance de données dans une base ORACLE, le tout dans un environnement hautement sécurisé et disponible</w:t>
                      </w:r>
                    </w:p>
                    <w:p w14:paraId="30E08592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055A4BA" w14:textId="77777777" w:rsidR="00D824CE" w:rsidRPr="00787DD2" w:rsidRDefault="00D824CE" w:rsidP="00D824CE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209D5B46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843DCB1" w14:textId="77777777" w:rsidR="00041563" w:rsidRPr="00041563" w:rsidRDefault="00041563" w:rsidP="00041563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Compétences UNIX souhaitées</w:t>
                      </w:r>
                    </w:p>
                    <w:p w14:paraId="0E7657AF" w14:textId="532B522F" w:rsidR="00041563" w:rsidRPr="00041563" w:rsidRDefault="00041563" w:rsidP="00041563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Serveur d’applications Java </w:t>
                      </w:r>
                      <w:proofErr w:type="spellStart"/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websphere</w:t>
                      </w:r>
                      <w:proofErr w:type="spellEnd"/>
                      <w:r w:rsidR="00CA23D0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/</w:t>
                      </w:r>
                      <w:r w:rsidR="00CA23D0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JBOSS</w:t>
                      </w:r>
                    </w:p>
                    <w:p w14:paraId="6D0E7ED5" w14:textId="77777777" w:rsidR="00041563" w:rsidRPr="00041563" w:rsidRDefault="00041563" w:rsidP="00041563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Serveur SGBD ORACLE</w:t>
                      </w:r>
                    </w:p>
                    <w:p w14:paraId="60249C4D" w14:textId="77777777" w:rsidR="00041563" w:rsidRPr="00041563" w:rsidRDefault="00041563" w:rsidP="00041563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>Connaissances java et architecture J2E</w:t>
                      </w:r>
                    </w:p>
                    <w:p w14:paraId="778D179A" w14:textId="77777777" w:rsidR="00041563" w:rsidRPr="00041563" w:rsidRDefault="00041563" w:rsidP="00041563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41563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Connaissances Windows/HTML5/CSS/JQUERY  </w:t>
                      </w:r>
                    </w:p>
                    <w:p w14:paraId="437D26B4" w14:textId="77777777" w:rsidR="00D824CE" w:rsidRPr="00787DD2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342AFB1" w14:textId="77777777" w:rsidR="00D824CE" w:rsidRPr="00D652F8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824CE" w:rsidRPr="00D652F8" w14:paraId="5B488818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205AED26" w14:textId="77777777" w:rsidR="00D824CE" w:rsidRPr="009051CD" w:rsidRDefault="00D824CE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99F0E4" w14:textId="77777777" w:rsidR="00D824CE" w:rsidRPr="001C5D36" w:rsidRDefault="00D824CE" w:rsidP="00D824C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B78"/>
    <w:multiLevelType w:val="hybridMultilevel"/>
    <w:tmpl w:val="BDA6268E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44EDD"/>
    <w:multiLevelType w:val="hybridMultilevel"/>
    <w:tmpl w:val="9C783B1C"/>
    <w:lvl w:ilvl="0" w:tplc="4900012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41563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37157"/>
    <w:rsid w:val="00CA23D0"/>
    <w:rsid w:val="00CB1A33"/>
    <w:rsid w:val="00CF0EE6"/>
    <w:rsid w:val="00D652F8"/>
    <w:rsid w:val="00D824CE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2017-09-07T12:25:00Z</dcterms:created>
  <dcterms:modified xsi:type="dcterms:W3CDTF">2017-09-07T12:25:00Z</dcterms:modified>
</cp:coreProperties>
</file>