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75FC0AB1" w:rsidR="001032F2" w:rsidRPr="00595E06" w:rsidRDefault="00A86720"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w:t>
                            </w:r>
                            <w:r w:rsidR="00C75234">
                              <w:rPr>
                                <w:rFonts w:ascii="Titillium" w:hAnsi="Titillium"/>
                                <w:b/>
                                <w:color w:val="1F497D" w:themeColor="text2"/>
                                <w:sz w:val="28"/>
                                <w:szCs w:val="20"/>
                              </w:rPr>
                              <w:t xml:space="preserve"> Informatique</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75FC0AB1" w:rsidR="001032F2" w:rsidRPr="00595E06" w:rsidRDefault="00A86720"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w:t>
                      </w:r>
                      <w:r w:rsidR="00C75234">
                        <w:rPr>
                          <w:rFonts w:ascii="Titillium" w:hAnsi="Titillium"/>
                          <w:b/>
                          <w:color w:val="1F497D" w:themeColor="text2"/>
                          <w:sz w:val="28"/>
                          <w:szCs w:val="20"/>
                        </w:rPr>
                        <w:t xml:space="preserve"> Informatique</w:t>
                      </w:r>
                      <w:bookmarkStart w:id="1" w:name="_GoBack"/>
                      <w:bookmarkEnd w:id="1"/>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03402E3A"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503A1E4B" w:rsidR="00787DD2" w:rsidRDefault="00C75234" w:rsidP="00025BE8">
      <w:pPr>
        <w:rPr>
          <w:noProof/>
        </w:rPr>
      </w:pPr>
      <w:r>
        <w:rPr>
          <w:noProof/>
        </w:rPr>
        <w:drawing>
          <wp:anchor distT="0" distB="0" distL="114300" distR="114300" simplePos="0" relativeHeight="251671552" behindDoc="0" locked="0" layoutInCell="1" allowOverlap="1" wp14:anchorId="3DDDA1E0" wp14:editId="0EBD2DED">
            <wp:simplePos x="0" y="0"/>
            <wp:positionH relativeFrom="margin">
              <wp:posOffset>3952875</wp:posOffset>
            </wp:positionH>
            <wp:positionV relativeFrom="margin">
              <wp:posOffset>1137285</wp:posOffset>
            </wp:positionV>
            <wp:extent cx="839470" cy="834390"/>
            <wp:effectExtent l="0" t="0" r="0"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39470" cy="834390"/>
                    </a:xfrm>
                    <a:prstGeom prst="rect">
                      <a:avLst/>
                    </a:prstGeom>
                  </pic:spPr>
                </pic:pic>
              </a:graphicData>
            </a:graphic>
            <wp14:sizeRelH relativeFrom="margin">
              <wp14:pctWidth>0</wp14:pctWidth>
            </wp14:sizeRelH>
            <wp14:sizeRelV relativeFrom="margin">
              <wp14:pctHeight>0</wp14:pctHeight>
            </wp14:sizeRelV>
          </wp:anchor>
        </w:drawing>
      </w:r>
    </w:p>
    <w:p w14:paraId="3A77F7D2" w14:textId="22941E84" w:rsidR="00025BE8" w:rsidRPr="00025BE8" w:rsidRDefault="00025BE8" w:rsidP="00025BE8"/>
    <w:p w14:paraId="4F34500F" w14:textId="47331029"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F0282AE" w:rsidR="00025BE8" w:rsidRPr="00025BE8" w:rsidRDefault="004B2BC4" w:rsidP="00025BE8">
      <w:r>
        <w:rPr>
          <w:noProof/>
        </w:rPr>
        <mc:AlternateContent>
          <mc:Choice Requires="wps">
            <w:drawing>
              <wp:anchor distT="0" distB="0" distL="114300" distR="114300" simplePos="0" relativeHeight="251665408" behindDoc="0" locked="0" layoutInCell="1" allowOverlap="1" wp14:anchorId="2D5E4861" wp14:editId="7F54FB91">
                <wp:simplePos x="0" y="0"/>
                <wp:positionH relativeFrom="page">
                  <wp:posOffset>2338705</wp:posOffset>
                </wp:positionH>
                <wp:positionV relativeFrom="page">
                  <wp:posOffset>2623461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41D89D2C"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00C75234">
                              <w:rPr>
                                <w:rFonts w:ascii="Courier New" w:hAnsi="Courier New" w:cs="Courier New"/>
                                <w:b/>
                                <w:color w:val="1F497D" w:themeColor="text2"/>
                                <w:sz w:val="20"/>
                                <w:szCs w:val="20"/>
                              </w:rPr>
                              <w:t xml:space="preserve"> : </w:t>
                            </w:r>
                            <w:r w:rsidR="00C75234" w:rsidRPr="00C75234">
                              <w:rPr>
                                <w:rFonts w:ascii="Titillium" w:hAnsi="Titillium"/>
                                <w:sz w:val="20"/>
                                <w:szCs w:val="20"/>
                              </w:rPr>
                              <w:t>Ministère de l’Europe et des Affaires étrangères</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6C26402F"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04682A" w:rsidRPr="0004682A">
                              <w:rPr>
                                <w:rFonts w:ascii="Titillium" w:hAnsi="Titillium"/>
                                <w:sz w:val="20"/>
                                <w:szCs w:val="20"/>
                              </w:rPr>
                              <w:t>Nantes</w:t>
                            </w:r>
                            <w:bookmarkStart w:id="0" w:name="_GoBack"/>
                            <w:bookmarkEnd w:id="0"/>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margin-left:184.15pt;margin-top:206.5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" filled="f" strokecolor="#ffc000" strokeweight="2.25pt">
                <v:textbox inset="0,0,0,0">
                  <w:txbxContent>
                    <w:p w14:paraId="003EC94E" w14:textId="41D89D2C"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00C75234">
                        <w:rPr>
                          <w:rFonts w:ascii="Courier New" w:hAnsi="Courier New" w:cs="Courier New"/>
                          <w:b/>
                          <w:color w:val="1F497D" w:themeColor="text2"/>
                          <w:sz w:val="20"/>
                          <w:szCs w:val="20"/>
                        </w:rPr>
                        <w:t xml:space="preserve"> : </w:t>
                      </w:r>
                      <w:r w:rsidR="00C75234" w:rsidRPr="00C75234">
                        <w:rPr>
                          <w:rFonts w:ascii="Titillium" w:hAnsi="Titillium"/>
                          <w:sz w:val="20"/>
                          <w:szCs w:val="20"/>
                        </w:rPr>
                        <w:t>Ministère de l’Europe et des Affaires étrangères</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6C26402F"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04682A" w:rsidRPr="0004682A">
                        <w:rPr>
                          <w:rFonts w:ascii="Titillium" w:hAnsi="Titillium"/>
                          <w:sz w:val="20"/>
                          <w:szCs w:val="20"/>
                        </w:rPr>
                        <w:t>Nantes</w:t>
                      </w:r>
                      <w:bookmarkStart w:id="1" w:name="_GoBack"/>
                      <w:bookmarkEnd w:id="1"/>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3C96464B" w14:textId="578AB304" w:rsidR="00025BE8" w:rsidRPr="00025BE8" w:rsidRDefault="00025BE8" w:rsidP="00025BE8"/>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6E9BD5BE" w:rsidR="00025BE8" w:rsidRPr="00025BE8" w:rsidRDefault="00025BE8" w:rsidP="00025BE8"/>
    <w:p w14:paraId="410B8449" w14:textId="6B63BD73" w:rsidR="00025BE8" w:rsidRPr="00025BE8" w:rsidRDefault="005708DC" w:rsidP="00025BE8">
      <w:r>
        <w:rPr>
          <w:noProof/>
        </w:rPr>
        <mc:AlternateContent>
          <mc:Choice Requires="wps">
            <w:drawing>
              <wp:anchor distT="0" distB="0" distL="114300" distR="114300" simplePos="0" relativeHeight="251667456" behindDoc="0" locked="0" layoutInCell="1" allowOverlap="1" wp14:anchorId="2B4CB3F7" wp14:editId="4A1AA409">
                <wp:simplePos x="0" y="0"/>
                <wp:positionH relativeFrom="page">
                  <wp:posOffset>2339009</wp:posOffset>
                </wp:positionH>
                <wp:positionV relativeFrom="page">
                  <wp:posOffset>3710609</wp:posOffset>
                </wp:positionV>
                <wp:extent cx="4859655" cy="6235148"/>
                <wp:effectExtent l="0" t="0" r="17145" b="13335"/>
                <wp:wrapNone/>
                <wp:docPr id="7" name="Zone de texte 7"/>
                <wp:cNvGraphicFramePr/>
                <a:graphic xmlns:a="http://schemas.openxmlformats.org/drawingml/2006/main">
                  <a:graphicData uri="http://schemas.microsoft.com/office/word/2010/wordprocessingShape">
                    <wps:wsp>
                      <wps:cNvSpPr txBox="1"/>
                      <wps:spPr>
                        <a:xfrm>
                          <a:off x="0" y="0"/>
                          <a:ext cx="4859655" cy="623514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ACFB9" w14:textId="27C93B4C" w:rsidR="00C75234" w:rsidRPr="00C75234" w:rsidRDefault="00C75234" w:rsidP="00C75234">
                            <w:pPr>
                              <w:rPr>
                                <w:rFonts w:ascii="Titillium" w:hAnsi="Titillium"/>
                                <w:sz w:val="20"/>
                                <w:szCs w:val="20"/>
                              </w:rPr>
                            </w:pPr>
                            <w:r w:rsidRPr="00C75234">
                              <w:rPr>
                                <w:rFonts w:ascii="Titillium" w:hAnsi="Titillium"/>
                                <w:sz w:val="20"/>
                                <w:szCs w:val="20"/>
                              </w:rPr>
                              <w:t xml:space="preserve">Le </w:t>
                            </w:r>
                            <w:r w:rsidRPr="00C75234">
                              <w:rPr>
                                <w:rFonts w:ascii="Titillium" w:hAnsi="Titillium"/>
                                <w:bCs/>
                                <w:sz w:val="20"/>
                                <w:szCs w:val="20"/>
                              </w:rPr>
                              <w:t>ministère de l'Europe et des Affaires étrangères</w:t>
                            </w:r>
                            <w:r w:rsidRPr="00C75234">
                              <w:rPr>
                                <w:rFonts w:ascii="Titillium" w:hAnsi="Titillium"/>
                                <w:sz w:val="20"/>
                                <w:szCs w:val="20"/>
                              </w:rPr>
                              <w:t xml:space="preserve"> est l’administration française chargée de mettre en œuvre la politique extérieure de la France et d’assurer les relations avec les États étrangers. Il comprend plus de 15000 agents et collaborent avec tous les pays sur plusieurs domaines</w:t>
                            </w:r>
                            <w:r w:rsidRPr="00C75234">
                              <w:rPr>
                                <w:rFonts w:ascii="Courier New" w:hAnsi="Courier New" w:cs="Courier New"/>
                                <w:sz w:val="20"/>
                                <w:szCs w:val="20"/>
                              </w:rPr>
                              <w:t> </w:t>
                            </w:r>
                            <w:r w:rsidRPr="00C75234">
                              <w:rPr>
                                <w:rFonts w:ascii="Titillium" w:hAnsi="Titillium"/>
                                <w:sz w:val="20"/>
                                <w:szCs w:val="20"/>
                              </w:rPr>
                              <w:t>: diplomatie, culture, s</w:t>
                            </w:r>
                            <w:r w:rsidRPr="00C75234">
                              <w:rPr>
                                <w:rFonts w:ascii="Titillium" w:hAnsi="Titillium" w:cs="Titillium"/>
                                <w:sz w:val="20"/>
                                <w:szCs w:val="20"/>
                              </w:rPr>
                              <w:t>é</w:t>
                            </w:r>
                            <w:r w:rsidRPr="00C75234">
                              <w:rPr>
                                <w:rFonts w:ascii="Titillium" w:hAnsi="Titillium"/>
                                <w:sz w:val="20"/>
                                <w:szCs w:val="20"/>
                              </w:rPr>
                              <w:t>curit</w:t>
                            </w:r>
                            <w:r w:rsidRPr="00C75234">
                              <w:rPr>
                                <w:rFonts w:ascii="Titillium" w:hAnsi="Titillium" w:cs="Titillium"/>
                                <w:sz w:val="20"/>
                                <w:szCs w:val="20"/>
                              </w:rPr>
                              <w:t>é</w:t>
                            </w:r>
                            <w:r w:rsidRPr="00C75234">
                              <w:rPr>
                                <w:rFonts w:ascii="Titillium" w:hAnsi="Titillium"/>
                                <w:sz w:val="20"/>
                                <w:szCs w:val="20"/>
                              </w:rPr>
                              <w:t>, etc.</w:t>
                            </w:r>
                          </w:p>
                          <w:p w14:paraId="57DFA740" w14:textId="77777777" w:rsidR="00C75234" w:rsidRPr="00C75234" w:rsidRDefault="00C75234" w:rsidP="00C75234">
                            <w:pPr>
                              <w:rPr>
                                <w:rFonts w:ascii="Titillium" w:hAnsi="Titillium"/>
                                <w:sz w:val="20"/>
                                <w:szCs w:val="20"/>
                              </w:rPr>
                            </w:pPr>
                            <w:r w:rsidRPr="00C75234">
                              <w:rPr>
                                <w:rFonts w:ascii="Titillium" w:hAnsi="Titillium"/>
                                <w:sz w:val="20"/>
                                <w:szCs w:val="20"/>
                              </w:rPr>
                              <w:t>Ses missions principales</w:t>
                            </w:r>
                            <w:r w:rsidRPr="00C75234">
                              <w:rPr>
                                <w:rFonts w:ascii="Courier New" w:hAnsi="Courier New" w:cs="Courier New"/>
                                <w:sz w:val="20"/>
                                <w:szCs w:val="20"/>
                              </w:rPr>
                              <w:t> </w:t>
                            </w:r>
                            <w:r w:rsidRPr="00C75234">
                              <w:rPr>
                                <w:rFonts w:ascii="Titillium" w:hAnsi="Titillium"/>
                                <w:sz w:val="20"/>
                                <w:szCs w:val="20"/>
                              </w:rPr>
                              <w:t>:</w:t>
                            </w:r>
                          </w:p>
                          <w:p w14:paraId="204FD5C9" w14:textId="77777777" w:rsidR="00C75234" w:rsidRDefault="00C75234" w:rsidP="00C75234">
                            <w:pPr>
                              <w:pStyle w:val="Paragraphedeliste"/>
                              <w:numPr>
                                <w:ilvl w:val="0"/>
                                <w:numId w:val="16"/>
                              </w:numPr>
                              <w:rPr>
                                <w:rFonts w:ascii="Titillium" w:hAnsi="Titillium"/>
                                <w:sz w:val="20"/>
                                <w:szCs w:val="20"/>
                              </w:rPr>
                            </w:pPr>
                            <w:r w:rsidRPr="00C75234">
                              <w:rPr>
                                <w:rFonts w:ascii="Titillium" w:hAnsi="Titillium"/>
                                <w:sz w:val="20"/>
                                <w:szCs w:val="20"/>
                              </w:rPr>
                              <w:t>Représenter la France, défendre et promouvoir ses intérêts dans tous les domaines</w:t>
                            </w:r>
                          </w:p>
                          <w:p w14:paraId="7AC11E98" w14:textId="77777777" w:rsidR="00C75234" w:rsidRDefault="00C75234" w:rsidP="00C75234">
                            <w:pPr>
                              <w:pStyle w:val="Paragraphedeliste"/>
                              <w:numPr>
                                <w:ilvl w:val="0"/>
                                <w:numId w:val="16"/>
                              </w:numPr>
                              <w:rPr>
                                <w:rFonts w:ascii="Titillium" w:hAnsi="Titillium"/>
                                <w:sz w:val="20"/>
                                <w:szCs w:val="20"/>
                              </w:rPr>
                            </w:pPr>
                            <w:r w:rsidRPr="00C75234">
                              <w:rPr>
                                <w:rFonts w:ascii="Titillium" w:hAnsi="Titillium"/>
                                <w:sz w:val="20"/>
                                <w:szCs w:val="20"/>
                              </w:rPr>
                              <w:t>Agir pour la sécurité et les droits de l’homme</w:t>
                            </w:r>
                          </w:p>
                          <w:p w14:paraId="38B48AA2" w14:textId="77777777" w:rsidR="00C75234" w:rsidRDefault="00C75234" w:rsidP="00C75234">
                            <w:pPr>
                              <w:pStyle w:val="Paragraphedeliste"/>
                              <w:numPr>
                                <w:ilvl w:val="0"/>
                                <w:numId w:val="16"/>
                              </w:numPr>
                              <w:rPr>
                                <w:rFonts w:ascii="Titillium" w:hAnsi="Titillium"/>
                                <w:sz w:val="20"/>
                                <w:szCs w:val="20"/>
                              </w:rPr>
                            </w:pPr>
                            <w:r w:rsidRPr="00C75234">
                              <w:rPr>
                                <w:rFonts w:ascii="Titillium" w:hAnsi="Titillium"/>
                                <w:sz w:val="20"/>
                                <w:szCs w:val="20"/>
                              </w:rPr>
                              <w:t>Agir à l’organisation de la mondialisatio</w:t>
                            </w:r>
                            <w:r>
                              <w:rPr>
                                <w:rFonts w:ascii="Titillium" w:hAnsi="Titillium"/>
                                <w:sz w:val="20"/>
                                <w:szCs w:val="20"/>
                              </w:rPr>
                              <w:t>n pour un développement durable</w:t>
                            </w:r>
                          </w:p>
                          <w:p w14:paraId="29FA0DEA" w14:textId="01374983" w:rsidR="00C75234" w:rsidRPr="00C75234" w:rsidRDefault="00C75234" w:rsidP="00C75234">
                            <w:pPr>
                              <w:pStyle w:val="Paragraphedeliste"/>
                              <w:numPr>
                                <w:ilvl w:val="0"/>
                                <w:numId w:val="16"/>
                              </w:numPr>
                              <w:rPr>
                                <w:rFonts w:ascii="Titillium" w:hAnsi="Titillium"/>
                                <w:sz w:val="20"/>
                                <w:szCs w:val="20"/>
                              </w:rPr>
                            </w:pPr>
                            <w:r w:rsidRPr="00C75234">
                              <w:rPr>
                                <w:rFonts w:ascii="Titillium" w:hAnsi="Titillium"/>
                                <w:sz w:val="20"/>
                                <w:szCs w:val="20"/>
                              </w:rPr>
                              <w:t>Administrer et protéger les français à l’étranger</w:t>
                            </w:r>
                          </w:p>
                          <w:p w14:paraId="7102239A" w14:textId="77777777" w:rsidR="00273C03" w:rsidRDefault="00273C03" w:rsidP="005708DC">
                            <w:pPr>
                              <w:rPr>
                                <w:rFonts w:ascii="Titillium" w:hAnsi="Titillium"/>
                                <w:sz w:val="20"/>
                                <w:szCs w:val="20"/>
                              </w:rPr>
                            </w:pPr>
                          </w:p>
                          <w:p w14:paraId="101942A4" w14:textId="77777777" w:rsidR="00C75234" w:rsidRPr="00C75234" w:rsidRDefault="00C75234" w:rsidP="00C75234">
                            <w:pPr>
                              <w:rPr>
                                <w:rFonts w:ascii="Titillium" w:hAnsi="Titillium"/>
                                <w:sz w:val="20"/>
                                <w:szCs w:val="20"/>
                              </w:rPr>
                            </w:pPr>
                            <w:r w:rsidRPr="00C75234">
                              <w:rPr>
                                <w:rFonts w:ascii="Titillium" w:hAnsi="Titillium"/>
                                <w:sz w:val="20"/>
                                <w:szCs w:val="20"/>
                              </w:rPr>
                              <w:t xml:space="preserve">La Direction des Systèmes d'Information (DSI) accompagne le MEAE dans la modernisation numérique. La DSI se compose de quatre missions. Une de ces missions est la Mission Stratégie et Architecture des systèmes d'informations (MSA). </w:t>
                            </w:r>
                          </w:p>
                          <w:p w14:paraId="341E5822" w14:textId="77777777" w:rsidR="00C75234" w:rsidRPr="00C75234" w:rsidRDefault="00C75234" w:rsidP="00C75234">
                            <w:pPr>
                              <w:rPr>
                                <w:rFonts w:ascii="Titillium" w:hAnsi="Titillium"/>
                                <w:sz w:val="20"/>
                                <w:szCs w:val="20"/>
                              </w:rPr>
                            </w:pPr>
                            <w:r w:rsidRPr="00C75234">
                              <w:rPr>
                                <w:rFonts w:ascii="Titillium" w:hAnsi="Titillium"/>
                                <w:sz w:val="20"/>
                                <w:szCs w:val="20"/>
                              </w:rPr>
                              <w:t>MSA participe à la définition de l'architecture et à la cohérence des systèmes d'information, ainsi qu’à l’établissement de la programmation de la direction en liaison avec les maîtrises d'ouvrage du ministère. Elle participe également à la définition des normes techniques à suivre par le ministère en la matière et à la veille technologique des systèmes d'information.</w:t>
                            </w:r>
                          </w:p>
                          <w:p w14:paraId="7BA1FAA3" w14:textId="77777777" w:rsidR="00C75234" w:rsidRPr="00C75234" w:rsidRDefault="00C75234" w:rsidP="005708DC">
                            <w:pPr>
                              <w:rPr>
                                <w:rFonts w:ascii="Titillium" w:hAnsi="Titillium"/>
                                <w:sz w:val="20"/>
                                <w:szCs w:val="20"/>
                              </w:rPr>
                            </w:pPr>
                          </w:p>
                          <w:p w14:paraId="2AF5DCE6" w14:textId="248BA449" w:rsidR="001E5F4F" w:rsidRPr="00C75234" w:rsidRDefault="00273C03" w:rsidP="001E5F4F">
                            <w:pPr>
                              <w:rPr>
                                <w:rFonts w:ascii="Titillium" w:hAnsi="Titillium"/>
                                <w:b/>
                                <w:color w:val="FFC000"/>
                                <w:sz w:val="20"/>
                                <w:szCs w:val="20"/>
                              </w:rPr>
                            </w:pPr>
                            <w:r w:rsidRPr="00C75234">
                              <w:rPr>
                                <w:rFonts w:ascii="Titillium" w:hAnsi="Titillium"/>
                                <w:b/>
                                <w:color w:val="FFC000"/>
                                <w:sz w:val="20"/>
                                <w:szCs w:val="20"/>
                              </w:rPr>
                              <w:t>Mission</w:t>
                            </w:r>
                          </w:p>
                          <w:p w14:paraId="5F2A8E15" w14:textId="77777777" w:rsidR="008C7B06" w:rsidRPr="00C75234" w:rsidRDefault="008C7B06" w:rsidP="008C7B06">
                            <w:pPr>
                              <w:rPr>
                                <w:rFonts w:ascii="Titillium" w:hAnsi="Titillium"/>
                                <w:sz w:val="20"/>
                                <w:szCs w:val="20"/>
                              </w:rPr>
                            </w:pPr>
                          </w:p>
                          <w:p w14:paraId="0DC9D031" w14:textId="77777777" w:rsidR="00C75234" w:rsidRPr="00C75234" w:rsidRDefault="00C75234" w:rsidP="00C75234">
                            <w:pPr>
                              <w:rPr>
                                <w:rFonts w:ascii="Titillium" w:hAnsi="Titillium"/>
                                <w:sz w:val="20"/>
                                <w:szCs w:val="20"/>
                              </w:rPr>
                            </w:pPr>
                            <w:r w:rsidRPr="00C75234">
                              <w:rPr>
                                <w:rFonts w:ascii="Titillium" w:hAnsi="Titillium"/>
                                <w:sz w:val="20"/>
                                <w:szCs w:val="20"/>
                              </w:rPr>
                              <w:t>Au sein de la mission Méthode, Stratégie et Architecture, le candidat devra :</w:t>
                            </w:r>
                          </w:p>
                          <w:p w14:paraId="78DC6366"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 xml:space="preserve">Etablir un état de l'art des outils </w:t>
                            </w:r>
                            <w:proofErr w:type="spellStart"/>
                            <w:r w:rsidRPr="00C75234">
                              <w:rPr>
                                <w:rFonts w:ascii="Titillium" w:hAnsi="Titillium"/>
                                <w:sz w:val="20"/>
                                <w:szCs w:val="20"/>
                              </w:rPr>
                              <w:t>OpenSource</w:t>
                            </w:r>
                            <w:proofErr w:type="spellEnd"/>
                            <w:r w:rsidRPr="00C75234">
                              <w:rPr>
                                <w:rFonts w:ascii="Titillium" w:hAnsi="Titillium"/>
                                <w:sz w:val="20"/>
                                <w:szCs w:val="20"/>
                              </w:rPr>
                              <w:t xml:space="preserve"> (et non </w:t>
                            </w:r>
                            <w:proofErr w:type="spellStart"/>
                            <w:r w:rsidRPr="00C75234">
                              <w:rPr>
                                <w:rFonts w:ascii="Titillium" w:hAnsi="Titillium"/>
                                <w:sz w:val="20"/>
                                <w:szCs w:val="20"/>
                              </w:rPr>
                              <w:t>OpenSource</w:t>
                            </w:r>
                            <w:proofErr w:type="spellEnd"/>
                            <w:r w:rsidRPr="00C75234">
                              <w:rPr>
                                <w:rFonts w:ascii="Titillium" w:hAnsi="Titillium"/>
                                <w:sz w:val="20"/>
                                <w:szCs w:val="20"/>
                              </w:rPr>
                              <w:t xml:space="preserve">) de </w:t>
                            </w:r>
                            <w:proofErr w:type="spellStart"/>
                            <w:r w:rsidRPr="00C75234">
                              <w:rPr>
                                <w:rFonts w:ascii="Titillium" w:hAnsi="Titillium"/>
                                <w:sz w:val="20"/>
                                <w:szCs w:val="20"/>
                              </w:rPr>
                              <w:t>datavisualization</w:t>
                            </w:r>
                            <w:proofErr w:type="spellEnd"/>
                            <w:r w:rsidRPr="00C75234">
                              <w:rPr>
                                <w:rFonts w:ascii="Titillium" w:hAnsi="Titillium"/>
                                <w:sz w:val="20"/>
                                <w:szCs w:val="20"/>
                              </w:rPr>
                              <w:t xml:space="preserve">, de modélisation, de </w:t>
                            </w:r>
                            <w:proofErr w:type="spellStart"/>
                            <w:r w:rsidRPr="00C75234">
                              <w:rPr>
                                <w:rFonts w:ascii="Titillium" w:hAnsi="Titillium"/>
                                <w:sz w:val="20"/>
                                <w:szCs w:val="20"/>
                              </w:rPr>
                              <w:t>Big</w:t>
                            </w:r>
                            <w:proofErr w:type="spellEnd"/>
                            <w:r w:rsidRPr="00C75234">
                              <w:rPr>
                                <w:rFonts w:ascii="Titillium" w:hAnsi="Titillium"/>
                                <w:sz w:val="20"/>
                                <w:szCs w:val="20"/>
                              </w:rPr>
                              <w:t xml:space="preserve"> Data de manière générale.</w:t>
                            </w:r>
                          </w:p>
                          <w:p w14:paraId="7252C1BD"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Rédiger des documents synthétisant cet état de l'art.</w:t>
                            </w:r>
                          </w:p>
                          <w:p w14:paraId="5ED28FCD"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Mettre en pratique sur un domaine (ou plusieurs domaines) de données du MEAE.</w:t>
                            </w:r>
                          </w:p>
                          <w:p w14:paraId="4335C299"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Donner des axes d'amélioration sur la qualité des données.</w:t>
                            </w:r>
                          </w:p>
                          <w:p w14:paraId="00A8EE13"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Mettre en place des axes de prédiction.</w:t>
                            </w:r>
                          </w:p>
                          <w:p w14:paraId="30F7FFCF" w14:textId="6BC1FE41" w:rsidR="00C75234" w:rsidRP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Aider à l’organisation des activités liées aux données.</w:t>
                            </w:r>
                          </w:p>
                          <w:p w14:paraId="511E604C" w14:textId="7EA2AA16" w:rsidR="00C75234" w:rsidRPr="00C75234" w:rsidRDefault="00273C03" w:rsidP="00C75234">
                            <w:pPr>
                              <w:rPr>
                                <w:rFonts w:ascii="Titillium" w:hAnsi="Titillium"/>
                                <w:sz w:val="20"/>
                                <w:szCs w:val="20"/>
                              </w:rPr>
                            </w:pPr>
                            <w:r w:rsidRPr="00C75234">
                              <w:rPr>
                                <w:rFonts w:ascii="Titillium" w:hAnsi="Titillium"/>
                                <w:sz w:val="20"/>
                                <w:szCs w:val="20"/>
                              </w:rPr>
                              <w:br/>
                            </w:r>
                            <w:r w:rsidR="00C75234" w:rsidRPr="00C75234">
                              <w:rPr>
                                <w:rFonts w:ascii="Titillium" w:hAnsi="Titillium"/>
                                <w:sz w:val="20"/>
                                <w:szCs w:val="20"/>
                              </w:rPr>
                              <w:t>Le poste pourra évoluer en fonction des compétences du candidat et des évolutions du système d’information sur des sujets liés à la gouvernance des données.</w:t>
                            </w:r>
                            <w:r w:rsidR="00C75234">
                              <w:rPr>
                                <w:rFonts w:ascii="Titillium" w:hAnsi="Titillium"/>
                                <w:sz w:val="20"/>
                                <w:szCs w:val="20"/>
                              </w:rPr>
                              <w:br/>
                            </w:r>
                          </w:p>
                          <w:p w14:paraId="15611EA6" w14:textId="77777777" w:rsidR="00C75234" w:rsidRPr="00C75234" w:rsidRDefault="00C75234" w:rsidP="00C75234">
                            <w:pPr>
                              <w:rPr>
                                <w:rFonts w:ascii="Titillium" w:hAnsi="Titillium"/>
                                <w:sz w:val="20"/>
                                <w:szCs w:val="20"/>
                              </w:rPr>
                            </w:pPr>
                            <w:r w:rsidRPr="00C75234">
                              <w:rPr>
                                <w:rFonts w:ascii="Titillium" w:hAnsi="Titillium"/>
                                <w:sz w:val="20"/>
                                <w:szCs w:val="20"/>
                              </w:rPr>
                              <w:t xml:space="preserve">En fonction des évolutions, une habilitation ‘confidentiel défense’ pourra être demandée. </w:t>
                            </w:r>
                          </w:p>
                          <w:p w14:paraId="50AEDFAA" w14:textId="43767010" w:rsidR="00787DD2" w:rsidRPr="00C75234" w:rsidRDefault="00273C03" w:rsidP="004B2BC4">
                            <w:pPr>
                              <w:rPr>
                                <w:rFonts w:ascii="Titillium" w:hAnsi="Titillium"/>
                                <w:b/>
                                <w:color w:val="FFC000"/>
                                <w:sz w:val="20"/>
                                <w:szCs w:val="20"/>
                              </w:rPr>
                            </w:pPr>
                            <w:r w:rsidRPr="00C75234">
                              <w:rPr>
                                <w:rFonts w:ascii="Titillium" w:hAnsi="Titillium"/>
                                <w:sz w:val="20"/>
                                <w:szCs w:val="20"/>
                              </w:rPr>
                              <w:br/>
                            </w:r>
                            <w:r w:rsidRPr="00C75234">
                              <w:rPr>
                                <w:rFonts w:ascii="Titillium" w:hAnsi="Titillium"/>
                                <w:sz w:val="20"/>
                                <w:szCs w:val="20"/>
                              </w:rPr>
                              <w:br/>
                            </w:r>
                          </w:p>
                          <w:p w14:paraId="5FC74D01" w14:textId="77777777" w:rsidR="00787DD2" w:rsidRPr="00C75234" w:rsidRDefault="00787DD2" w:rsidP="00787DD2">
                            <w:pPr>
                              <w:rPr>
                                <w:rFonts w:ascii="Titillium" w:hAnsi="Titillium"/>
                                <w:sz w:val="20"/>
                                <w:szCs w:val="20"/>
                              </w:rPr>
                            </w:pPr>
                          </w:p>
                          <w:p w14:paraId="14F1B49C" w14:textId="356DE6CB" w:rsidR="00787DD2" w:rsidRPr="00C75234" w:rsidRDefault="005708DC" w:rsidP="005708DC">
                            <w:pPr>
                              <w:rPr>
                                <w:rFonts w:ascii="Titillium" w:hAnsi="Titillium"/>
                                <w:sz w:val="20"/>
                                <w:szCs w:val="20"/>
                              </w:rPr>
                            </w:pPr>
                            <w:r w:rsidRPr="00C75234">
                              <w:rPr>
                                <w:rFonts w:ascii="Titillium" w:hAnsi="Titillium"/>
                                <w:sz w:val="20"/>
                                <w:szCs w:val="20"/>
                              </w:rPr>
                              <w:t xml:space="preserve"> </w:t>
                            </w:r>
                          </w:p>
                          <w:p w14:paraId="054DE02C" w14:textId="77777777" w:rsidR="00787DD2" w:rsidRPr="00C75234" w:rsidRDefault="00787DD2" w:rsidP="00787DD2">
                            <w:pPr>
                              <w:rPr>
                                <w:rFonts w:ascii="Titillium" w:hAnsi="Titillium"/>
                                <w:sz w:val="20"/>
                                <w:szCs w:val="20"/>
                              </w:rPr>
                            </w:pPr>
                          </w:p>
                          <w:p w14:paraId="3652E0C0" w14:textId="38A7BEE0" w:rsidR="00D652F8" w:rsidRPr="00C75234"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C75234" w14:paraId="174BF8C1" w14:textId="77777777">
                              <w:trPr>
                                <w:trHeight w:val="465"/>
                              </w:trPr>
                              <w:tc>
                                <w:tcPr>
                                  <w:tcW w:w="6888" w:type="dxa"/>
                                </w:tcPr>
                                <w:p w14:paraId="4F7D5C55" w14:textId="1193838C" w:rsidR="009051CD" w:rsidRPr="00C75234" w:rsidRDefault="009051CD" w:rsidP="009051CD">
                                  <w:pPr>
                                    <w:rPr>
                                      <w:rFonts w:ascii="Titillium" w:hAnsi="Titillium"/>
                                      <w:sz w:val="20"/>
                                      <w:szCs w:val="20"/>
                                    </w:rPr>
                                  </w:pPr>
                                </w:p>
                              </w:tc>
                            </w:tr>
                          </w:tbl>
                          <w:p w14:paraId="3A8CA1E1" w14:textId="51A8FEB8" w:rsidR="001032F2" w:rsidRPr="00C75234"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92.15pt;width:382.65pt;height:490.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" filled="f" stroked="f">
                <v:textbox inset="0,0,0,0">
                  <w:txbxContent>
                    <w:p w14:paraId="155ACFB9" w14:textId="27C93B4C" w:rsidR="00C75234" w:rsidRPr="00C75234" w:rsidRDefault="00C75234" w:rsidP="00C75234">
                      <w:pPr>
                        <w:rPr>
                          <w:rFonts w:ascii="Titillium" w:hAnsi="Titillium"/>
                          <w:sz w:val="20"/>
                          <w:szCs w:val="20"/>
                        </w:rPr>
                      </w:pPr>
                      <w:r w:rsidRPr="00C75234">
                        <w:rPr>
                          <w:rFonts w:ascii="Titillium" w:hAnsi="Titillium"/>
                          <w:sz w:val="20"/>
                          <w:szCs w:val="20"/>
                        </w:rPr>
                        <w:t xml:space="preserve">Le </w:t>
                      </w:r>
                      <w:r w:rsidRPr="00C75234">
                        <w:rPr>
                          <w:rFonts w:ascii="Titillium" w:hAnsi="Titillium"/>
                          <w:bCs/>
                          <w:sz w:val="20"/>
                          <w:szCs w:val="20"/>
                        </w:rPr>
                        <w:t>ministère de l'Europe et des Affaires étrangères</w:t>
                      </w:r>
                      <w:r w:rsidRPr="00C75234">
                        <w:rPr>
                          <w:rFonts w:ascii="Titillium" w:hAnsi="Titillium"/>
                          <w:sz w:val="20"/>
                          <w:szCs w:val="20"/>
                        </w:rPr>
                        <w:t xml:space="preserve"> est l’administration française chargée de mettre en œuvre la politique extérieure de la France et d’assurer les relations avec les États étrangers. Il comprend plus de 15000 agents et collaborent avec tous les pays sur plusieurs domaines</w:t>
                      </w:r>
                      <w:r w:rsidRPr="00C75234">
                        <w:rPr>
                          <w:rFonts w:ascii="Courier New" w:hAnsi="Courier New" w:cs="Courier New"/>
                          <w:sz w:val="20"/>
                          <w:szCs w:val="20"/>
                        </w:rPr>
                        <w:t> </w:t>
                      </w:r>
                      <w:r w:rsidRPr="00C75234">
                        <w:rPr>
                          <w:rFonts w:ascii="Titillium" w:hAnsi="Titillium"/>
                          <w:sz w:val="20"/>
                          <w:szCs w:val="20"/>
                        </w:rPr>
                        <w:t>: diplomatie, culture, s</w:t>
                      </w:r>
                      <w:r w:rsidRPr="00C75234">
                        <w:rPr>
                          <w:rFonts w:ascii="Titillium" w:hAnsi="Titillium" w:cs="Titillium"/>
                          <w:sz w:val="20"/>
                          <w:szCs w:val="20"/>
                        </w:rPr>
                        <w:t>é</w:t>
                      </w:r>
                      <w:r w:rsidRPr="00C75234">
                        <w:rPr>
                          <w:rFonts w:ascii="Titillium" w:hAnsi="Titillium"/>
                          <w:sz w:val="20"/>
                          <w:szCs w:val="20"/>
                        </w:rPr>
                        <w:t>curit</w:t>
                      </w:r>
                      <w:r w:rsidRPr="00C75234">
                        <w:rPr>
                          <w:rFonts w:ascii="Titillium" w:hAnsi="Titillium" w:cs="Titillium"/>
                          <w:sz w:val="20"/>
                          <w:szCs w:val="20"/>
                        </w:rPr>
                        <w:t>é</w:t>
                      </w:r>
                      <w:r w:rsidRPr="00C75234">
                        <w:rPr>
                          <w:rFonts w:ascii="Titillium" w:hAnsi="Titillium"/>
                          <w:sz w:val="20"/>
                          <w:szCs w:val="20"/>
                        </w:rPr>
                        <w:t>, etc.</w:t>
                      </w:r>
                    </w:p>
                    <w:p w14:paraId="57DFA740" w14:textId="77777777" w:rsidR="00C75234" w:rsidRPr="00C75234" w:rsidRDefault="00C75234" w:rsidP="00C75234">
                      <w:pPr>
                        <w:rPr>
                          <w:rFonts w:ascii="Titillium" w:hAnsi="Titillium"/>
                          <w:sz w:val="20"/>
                          <w:szCs w:val="20"/>
                        </w:rPr>
                      </w:pPr>
                      <w:r w:rsidRPr="00C75234">
                        <w:rPr>
                          <w:rFonts w:ascii="Titillium" w:hAnsi="Titillium"/>
                          <w:sz w:val="20"/>
                          <w:szCs w:val="20"/>
                        </w:rPr>
                        <w:t>Ses missions principales</w:t>
                      </w:r>
                      <w:r w:rsidRPr="00C75234">
                        <w:rPr>
                          <w:rFonts w:ascii="Courier New" w:hAnsi="Courier New" w:cs="Courier New"/>
                          <w:sz w:val="20"/>
                          <w:szCs w:val="20"/>
                        </w:rPr>
                        <w:t> </w:t>
                      </w:r>
                      <w:r w:rsidRPr="00C75234">
                        <w:rPr>
                          <w:rFonts w:ascii="Titillium" w:hAnsi="Titillium"/>
                          <w:sz w:val="20"/>
                          <w:szCs w:val="20"/>
                        </w:rPr>
                        <w:t>:</w:t>
                      </w:r>
                    </w:p>
                    <w:p w14:paraId="204FD5C9" w14:textId="77777777" w:rsidR="00C75234" w:rsidRDefault="00C75234" w:rsidP="00C75234">
                      <w:pPr>
                        <w:pStyle w:val="Paragraphedeliste"/>
                        <w:numPr>
                          <w:ilvl w:val="0"/>
                          <w:numId w:val="16"/>
                        </w:numPr>
                        <w:rPr>
                          <w:rFonts w:ascii="Titillium" w:hAnsi="Titillium"/>
                          <w:sz w:val="20"/>
                          <w:szCs w:val="20"/>
                        </w:rPr>
                      </w:pPr>
                      <w:r w:rsidRPr="00C75234">
                        <w:rPr>
                          <w:rFonts w:ascii="Titillium" w:hAnsi="Titillium"/>
                          <w:sz w:val="20"/>
                          <w:szCs w:val="20"/>
                        </w:rPr>
                        <w:t>Représenter la France, défendre et promouvoir ses intérêts dans tous les domaines</w:t>
                      </w:r>
                    </w:p>
                    <w:p w14:paraId="7AC11E98" w14:textId="77777777" w:rsidR="00C75234" w:rsidRDefault="00C75234" w:rsidP="00C75234">
                      <w:pPr>
                        <w:pStyle w:val="Paragraphedeliste"/>
                        <w:numPr>
                          <w:ilvl w:val="0"/>
                          <w:numId w:val="16"/>
                        </w:numPr>
                        <w:rPr>
                          <w:rFonts w:ascii="Titillium" w:hAnsi="Titillium"/>
                          <w:sz w:val="20"/>
                          <w:szCs w:val="20"/>
                        </w:rPr>
                      </w:pPr>
                      <w:r w:rsidRPr="00C75234">
                        <w:rPr>
                          <w:rFonts w:ascii="Titillium" w:hAnsi="Titillium"/>
                          <w:sz w:val="20"/>
                          <w:szCs w:val="20"/>
                        </w:rPr>
                        <w:t>Agir pour la sécurité et les droits de l’homme</w:t>
                      </w:r>
                    </w:p>
                    <w:p w14:paraId="38B48AA2" w14:textId="77777777" w:rsidR="00C75234" w:rsidRDefault="00C75234" w:rsidP="00C75234">
                      <w:pPr>
                        <w:pStyle w:val="Paragraphedeliste"/>
                        <w:numPr>
                          <w:ilvl w:val="0"/>
                          <w:numId w:val="16"/>
                        </w:numPr>
                        <w:rPr>
                          <w:rFonts w:ascii="Titillium" w:hAnsi="Titillium"/>
                          <w:sz w:val="20"/>
                          <w:szCs w:val="20"/>
                        </w:rPr>
                      </w:pPr>
                      <w:r w:rsidRPr="00C75234">
                        <w:rPr>
                          <w:rFonts w:ascii="Titillium" w:hAnsi="Titillium"/>
                          <w:sz w:val="20"/>
                          <w:szCs w:val="20"/>
                        </w:rPr>
                        <w:t>Agir à l’organisation de la mondialisatio</w:t>
                      </w:r>
                      <w:r>
                        <w:rPr>
                          <w:rFonts w:ascii="Titillium" w:hAnsi="Titillium"/>
                          <w:sz w:val="20"/>
                          <w:szCs w:val="20"/>
                        </w:rPr>
                        <w:t>n pour un développement durable</w:t>
                      </w:r>
                    </w:p>
                    <w:p w14:paraId="29FA0DEA" w14:textId="01374983" w:rsidR="00C75234" w:rsidRPr="00C75234" w:rsidRDefault="00C75234" w:rsidP="00C75234">
                      <w:pPr>
                        <w:pStyle w:val="Paragraphedeliste"/>
                        <w:numPr>
                          <w:ilvl w:val="0"/>
                          <w:numId w:val="16"/>
                        </w:numPr>
                        <w:rPr>
                          <w:rFonts w:ascii="Titillium" w:hAnsi="Titillium"/>
                          <w:sz w:val="20"/>
                          <w:szCs w:val="20"/>
                        </w:rPr>
                      </w:pPr>
                      <w:r w:rsidRPr="00C75234">
                        <w:rPr>
                          <w:rFonts w:ascii="Titillium" w:hAnsi="Titillium"/>
                          <w:sz w:val="20"/>
                          <w:szCs w:val="20"/>
                        </w:rPr>
                        <w:t>Administrer et protéger les français à l’étranger</w:t>
                      </w:r>
                    </w:p>
                    <w:p w14:paraId="7102239A" w14:textId="77777777" w:rsidR="00273C03" w:rsidRDefault="00273C03" w:rsidP="005708DC">
                      <w:pPr>
                        <w:rPr>
                          <w:rFonts w:ascii="Titillium" w:hAnsi="Titillium"/>
                          <w:sz w:val="20"/>
                          <w:szCs w:val="20"/>
                        </w:rPr>
                      </w:pPr>
                    </w:p>
                    <w:p w14:paraId="101942A4" w14:textId="77777777" w:rsidR="00C75234" w:rsidRPr="00C75234" w:rsidRDefault="00C75234" w:rsidP="00C75234">
                      <w:pPr>
                        <w:rPr>
                          <w:rFonts w:ascii="Titillium" w:hAnsi="Titillium"/>
                          <w:sz w:val="20"/>
                          <w:szCs w:val="20"/>
                        </w:rPr>
                      </w:pPr>
                      <w:r w:rsidRPr="00C75234">
                        <w:rPr>
                          <w:rFonts w:ascii="Titillium" w:hAnsi="Titillium"/>
                          <w:sz w:val="20"/>
                          <w:szCs w:val="20"/>
                        </w:rPr>
                        <w:t xml:space="preserve">La Direction des Systèmes d'Information (DSI) accompagne le MEAE dans la modernisation numérique. La DSI se compose de quatre missions. Une de ces missions est la Mission Stratégie et Architecture des systèmes d'informations (MSA). </w:t>
                      </w:r>
                    </w:p>
                    <w:p w14:paraId="341E5822" w14:textId="77777777" w:rsidR="00C75234" w:rsidRPr="00C75234" w:rsidRDefault="00C75234" w:rsidP="00C75234">
                      <w:pPr>
                        <w:rPr>
                          <w:rFonts w:ascii="Titillium" w:hAnsi="Titillium"/>
                          <w:sz w:val="20"/>
                          <w:szCs w:val="20"/>
                        </w:rPr>
                      </w:pPr>
                      <w:r w:rsidRPr="00C75234">
                        <w:rPr>
                          <w:rFonts w:ascii="Titillium" w:hAnsi="Titillium"/>
                          <w:sz w:val="20"/>
                          <w:szCs w:val="20"/>
                        </w:rPr>
                        <w:t>MSA participe à la définition de l'architecture et à la cohérence des systèmes d'information, ainsi qu’à l’établissement de la programmation de la direction en liaison avec les maîtrises d'ouvrage du ministère. Elle participe également à la définition des normes techniques à suivre par le ministère en la matière et à la veille technologique des systèmes d'information.</w:t>
                      </w:r>
                    </w:p>
                    <w:p w14:paraId="7BA1FAA3" w14:textId="77777777" w:rsidR="00C75234" w:rsidRPr="00C75234" w:rsidRDefault="00C75234" w:rsidP="005708DC">
                      <w:pPr>
                        <w:rPr>
                          <w:rFonts w:ascii="Titillium" w:hAnsi="Titillium"/>
                          <w:sz w:val="20"/>
                          <w:szCs w:val="20"/>
                        </w:rPr>
                      </w:pPr>
                    </w:p>
                    <w:p w14:paraId="2AF5DCE6" w14:textId="248BA449" w:rsidR="001E5F4F" w:rsidRPr="00C75234" w:rsidRDefault="00273C03" w:rsidP="001E5F4F">
                      <w:pPr>
                        <w:rPr>
                          <w:rFonts w:ascii="Titillium" w:hAnsi="Titillium"/>
                          <w:b/>
                          <w:color w:val="FFC000"/>
                          <w:sz w:val="20"/>
                          <w:szCs w:val="20"/>
                        </w:rPr>
                      </w:pPr>
                      <w:r w:rsidRPr="00C75234">
                        <w:rPr>
                          <w:rFonts w:ascii="Titillium" w:hAnsi="Titillium"/>
                          <w:b/>
                          <w:color w:val="FFC000"/>
                          <w:sz w:val="20"/>
                          <w:szCs w:val="20"/>
                        </w:rPr>
                        <w:t>Mission</w:t>
                      </w:r>
                    </w:p>
                    <w:p w14:paraId="5F2A8E15" w14:textId="77777777" w:rsidR="008C7B06" w:rsidRPr="00C75234" w:rsidRDefault="008C7B06" w:rsidP="008C7B06">
                      <w:pPr>
                        <w:rPr>
                          <w:rFonts w:ascii="Titillium" w:hAnsi="Titillium"/>
                          <w:sz w:val="20"/>
                          <w:szCs w:val="20"/>
                        </w:rPr>
                      </w:pPr>
                    </w:p>
                    <w:p w14:paraId="0DC9D031" w14:textId="77777777" w:rsidR="00C75234" w:rsidRPr="00C75234" w:rsidRDefault="00C75234" w:rsidP="00C75234">
                      <w:pPr>
                        <w:rPr>
                          <w:rFonts w:ascii="Titillium" w:hAnsi="Titillium"/>
                          <w:sz w:val="20"/>
                          <w:szCs w:val="20"/>
                        </w:rPr>
                      </w:pPr>
                      <w:r w:rsidRPr="00C75234">
                        <w:rPr>
                          <w:rFonts w:ascii="Titillium" w:hAnsi="Titillium"/>
                          <w:sz w:val="20"/>
                          <w:szCs w:val="20"/>
                        </w:rPr>
                        <w:t>Au sein de la mission Méthode, Stratégie et Architecture, le candidat devra :</w:t>
                      </w:r>
                    </w:p>
                    <w:p w14:paraId="78DC6366"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 xml:space="preserve">Etablir un état de l'art des outils </w:t>
                      </w:r>
                      <w:proofErr w:type="spellStart"/>
                      <w:r w:rsidRPr="00C75234">
                        <w:rPr>
                          <w:rFonts w:ascii="Titillium" w:hAnsi="Titillium"/>
                          <w:sz w:val="20"/>
                          <w:szCs w:val="20"/>
                        </w:rPr>
                        <w:t>OpenSource</w:t>
                      </w:r>
                      <w:proofErr w:type="spellEnd"/>
                      <w:r w:rsidRPr="00C75234">
                        <w:rPr>
                          <w:rFonts w:ascii="Titillium" w:hAnsi="Titillium"/>
                          <w:sz w:val="20"/>
                          <w:szCs w:val="20"/>
                        </w:rPr>
                        <w:t xml:space="preserve"> (et non </w:t>
                      </w:r>
                      <w:proofErr w:type="spellStart"/>
                      <w:r w:rsidRPr="00C75234">
                        <w:rPr>
                          <w:rFonts w:ascii="Titillium" w:hAnsi="Titillium"/>
                          <w:sz w:val="20"/>
                          <w:szCs w:val="20"/>
                        </w:rPr>
                        <w:t>OpenSource</w:t>
                      </w:r>
                      <w:proofErr w:type="spellEnd"/>
                      <w:r w:rsidRPr="00C75234">
                        <w:rPr>
                          <w:rFonts w:ascii="Titillium" w:hAnsi="Titillium"/>
                          <w:sz w:val="20"/>
                          <w:szCs w:val="20"/>
                        </w:rPr>
                        <w:t xml:space="preserve">) de </w:t>
                      </w:r>
                      <w:proofErr w:type="spellStart"/>
                      <w:r w:rsidRPr="00C75234">
                        <w:rPr>
                          <w:rFonts w:ascii="Titillium" w:hAnsi="Titillium"/>
                          <w:sz w:val="20"/>
                          <w:szCs w:val="20"/>
                        </w:rPr>
                        <w:t>datavisualization</w:t>
                      </w:r>
                      <w:proofErr w:type="spellEnd"/>
                      <w:r w:rsidRPr="00C75234">
                        <w:rPr>
                          <w:rFonts w:ascii="Titillium" w:hAnsi="Titillium"/>
                          <w:sz w:val="20"/>
                          <w:szCs w:val="20"/>
                        </w:rPr>
                        <w:t xml:space="preserve">, de modélisation, de </w:t>
                      </w:r>
                      <w:proofErr w:type="spellStart"/>
                      <w:r w:rsidRPr="00C75234">
                        <w:rPr>
                          <w:rFonts w:ascii="Titillium" w:hAnsi="Titillium"/>
                          <w:sz w:val="20"/>
                          <w:szCs w:val="20"/>
                        </w:rPr>
                        <w:t>Big</w:t>
                      </w:r>
                      <w:proofErr w:type="spellEnd"/>
                      <w:r w:rsidRPr="00C75234">
                        <w:rPr>
                          <w:rFonts w:ascii="Titillium" w:hAnsi="Titillium"/>
                          <w:sz w:val="20"/>
                          <w:szCs w:val="20"/>
                        </w:rPr>
                        <w:t xml:space="preserve"> Data de manière générale.</w:t>
                      </w:r>
                    </w:p>
                    <w:p w14:paraId="7252C1BD"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Rédiger des documents synthétisant cet état de l'art.</w:t>
                      </w:r>
                    </w:p>
                    <w:p w14:paraId="5ED28FCD"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Mettre en pratique sur un domaine (ou plusieurs domaines) de données du MEAE.</w:t>
                      </w:r>
                    </w:p>
                    <w:p w14:paraId="4335C299"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Donner des axes d'amélioration sur la qualité des données.</w:t>
                      </w:r>
                    </w:p>
                    <w:p w14:paraId="00A8EE13" w14:textId="77777777" w:rsid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Mettre en place des axes de prédiction.</w:t>
                      </w:r>
                    </w:p>
                    <w:p w14:paraId="30F7FFCF" w14:textId="6BC1FE41" w:rsidR="00C75234" w:rsidRPr="00C75234" w:rsidRDefault="00C75234" w:rsidP="00C75234">
                      <w:pPr>
                        <w:pStyle w:val="Paragraphedeliste"/>
                        <w:numPr>
                          <w:ilvl w:val="0"/>
                          <w:numId w:val="18"/>
                        </w:numPr>
                        <w:rPr>
                          <w:rFonts w:ascii="Titillium" w:hAnsi="Titillium"/>
                          <w:sz w:val="20"/>
                          <w:szCs w:val="20"/>
                        </w:rPr>
                      </w:pPr>
                      <w:r w:rsidRPr="00C75234">
                        <w:rPr>
                          <w:rFonts w:ascii="Titillium" w:hAnsi="Titillium"/>
                          <w:sz w:val="20"/>
                          <w:szCs w:val="20"/>
                        </w:rPr>
                        <w:t>Aider à l’organisation des activités liées aux données.</w:t>
                      </w:r>
                    </w:p>
                    <w:p w14:paraId="511E604C" w14:textId="7EA2AA16" w:rsidR="00C75234" w:rsidRPr="00C75234" w:rsidRDefault="00273C03" w:rsidP="00C75234">
                      <w:pPr>
                        <w:rPr>
                          <w:rFonts w:ascii="Titillium" w:hAnsi="Titillium"/>
                          <w:sz w:val="20"/>
                          <w:szCs w:val="20"/>
                        </w:rPr>
                      </w:pPr>
                      <w:r w:rsidRPr="00C75234">
                        <w:rPr>
                          <w:rFonts w:ascii="Titillium" w:hAnsi="Titillium"/>
                          <w:sz w:val="20"/>
                          <w:szCs w:val="20"/>
                        </w:rPr>
                        <w:br/>
                      </w:r>
                      <w:r w:rsidR="00C75234" w:rsidRPr="00C75234">
                        <w:rPr>
                          <w:rFonts w:ascii="Titillium" w:hAnsi="Titillium"/>
                          <w:sz w:val="20"/>
                          <w:szCs w:val="20"/>
                        </w:rPr>
                        <w:t>Le poste pourra évoluer en fonction des compétences du candidat et des évolutions du système d’information sur des sujets liés à la gouvernance des données.</w:t>
                      </w:r>
                      <w:r w:rsidR="00C75234">
                        <w:rPr>
                          <w:rFonts w:ascii="Titillium" w:hAnsi="Titillium"/>
                          <w:sz w:val="20"/>
                          <w:szCs w:val="20"/>
                        </w:rPr>
                        <w:br/>
                      </w:r>
                    </w:p>
                    <w:p w14:paraId="15611EA6" w14:textId="77777777" w:rsidR="00C75234" w:rsidRPr="00C75234" w:rsidRDefault="00C75234" w:rsidP="00C75234">
                      <w:pPr>
                        <w:rPr>
                          <w:rFonts w:ascii="Titillium" w:hAnsi="Titillium"/>
                          <w:sz w:val="20"/>
                          <w:szCs w:val="20"/>
                        </w:rPr>
                      </w:pPr>
                      <w:r w:rsidRPr="00C75234">
                        <w:rPr>
                          <w:rFonts w:ascii="Titillium" w:hAnsi="Titillium"/>
                          <w:sz w:val="20"/>
                          <w:szCs w:val="20"/>
                        </w:rPr>
                        <w:t xml:space="preserve">En fonction des évolutions, une habilitation ‘confidentiel défense’ pourra être demandée. </w:t>
                      </w:r>
                    </w:p>
                    <w:p w14:paraId="50AEDFAA" w14:textId="43767010" w:rsidR="00787DD2" w:rsidRPr="00C75234" w:rsidRDefault="00273C03" w:rsidP="004B2BC4">
                      <w:pPr>
                        <w:rPr>
                          <w:rFonts w:ascii="Titillium" w:hAnsi="Titillium"/>
                          <w:b/>
                          <w:color w:val="FFC000"/>
                          <w:sz w:val="20"/>
                          <w:szCs w:val="20"/>
                        </w:rPr>
                      </w:pPr>
                      <w:r w:rsidRPr="00C75234">
                        <w:rPr>
                          <w:rFonts w:ascii="Titillium" w:hAnsi="Titillium"/>
                          <w:sz w:val="20"/>
                          <w:szCs w:val="20"/>
                        </w:rPr>
                        <w:br/>
                      </w:r>
                      <w:r w:rsidRPr="00C75234">
                        <w:rPr>
                          <w:rFonts w:ascii="Titillium" w:hAnsi="Titillium"/>
                          <w:sz w:val="20"/>
                          <w:szCs w:val="20"/>
                        </w:rPr>
                        <w:br/>
                      </w:r>
                    </w:p>
                    <w:p w14:paraId="5FC74D01" w14:textId="77777777" w:rsidR="00787DD2" w:rsidRPr="00C75234" w:rsidRDefault="00787DD2" w:rsidP="00787DD2">
                      <w:pPr>
                        <w:rPr>
                          <w:rFonts w:ascii="Titillium" w:hAnsi="Titillium"/>
                          <w:sz w:val="20"/>
                          <w:szCs w:val="20"/>
                        </w:rPr>
                      </w:pPr>
                    </w:p>
                    <w:p w14:paraId="14F1B49C" w14:textId="356DE6CB" w:rsidR="00787DD2" w:rsidRPr="00C75234" w:rsidRDefault="005708DC" w:rsidP="005708DC">
                      <w:pPr>
                        <w:rPr>
                          <w:rFonts w:ascii="Titillium" w:hAnsi="Titillium"/>
                          <w:sz w:val="20"/>
                          <w:szCs w:val="20"/>
                        </w:rPr>
                      </w:pPr>
                      <w:r w:rsidRPr="00C75234">
                        <w:rPr>
                          <w:rFonts w:ascii="Titillium" w:hAnsi="Titillium"/>
                          <w:sz w:val="20"/>
                          <w:szCs w:val="20"/>
                        </w:rPr>
                        <w:t xml:space="preserve"> </w:t>
                      </w:r>
                    </w:p>
                    <w:p w14:paraId="054DE02C" w14:textId="77777777" w:rsidR="00787DD2" w:rsidRPr="00C75234" w:rsidRDefault="00787DD2" w:rsidP="00787DD2">
                      <w:pPr>
                        <w:rPr>
                          <w:rFonts w:ascii="Titillium" w:hAnsi="Titillium"/>
                          <w:sz w:val="20"/>
                          <w:szCs w:val="20"/>
                        </w:rPr>
                      </w:pPr>
                    </w:p>
                    <w:p w14:paraId="3652E0C0" w14:textId="38A7BEE0" w:rsidR="00D652F8" w:rsidRPr="00C75234"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C75234" w14:paraId="174BF8C1" w14:textId="77777777">
                        <w:trPr>
                          <w:trHeight w:val="465"/>
                        </w:trPr>
                        <w:tc>
                          <w:tcPr>
                            <w:tcW w:w="6888" w:type="dxa"/>
                          </w:tcPr>
                          <w:p w14:paraId="4F7D5C55" w14:textId="1193838C" w:rsidR="009051CD" w:rsidRPr="00C75234" w:rsidRDefault="009051CD" w:rsidP="009051CD">
                            <w:pPr>
                              <w:rPr>
                                <w:rFonts w:ascii="Titillium" w:hAnsi="Titillium"/>
                                <w:sz w:val="20"/>
                                <w:szCs w:val="20"/>
                              </w:rPr>
                            </w:pPr>
                          </w:p>
                        </w:tc>
                      </w:tr>
                    </w:tbl>
                    <w:p w14:paraId="3A8CA1E1" w14:textId="51A8FEB8" w:rsidR="001032F2" w:rsidRPr="00C75234" w:rsidRDefault="001032F2" w:rsidP="001E5F4F">
                      <w:pPr>
                        <w:rPr>
                          <w:rFonts w:ascii="Arial" w:hAnsi="Arial"/>
                          <w:b/>
                          <w:sz w:val="20"/>
                          <w:szCs w:val="20"/>
                        </w:rPr>
                      </w:pPr>
                    </w:p>
                  </w:txbxContent>
                </v:textbox>
                <w10:wrap anchorx="page" anchory="page"/>
              </v:shape>
            </w:pict>
          </mc:Fallback>
        </mc:AlternateContent>
      </w:r>
    </w:p>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24D98E21" w14:textId="77777777" w:rsidR="00273C03" w:rsidRDefault="00273C03" w:rsidP="00025BE8">
      <w:pPr>
        <w:tabs>
          <w:tab w:val="left" w:pos="4299"/>
        </w:tabs>
      </w:pPr>
    </w:p>
    <w:p w14:paraId="310D2F44" w14:textId="77777777" w:rsidR="005708DC" w:rsidRDefault="005708DC"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486D07AB" w14:textId="14FC384B" w:rsidR="00025BE8" w:rsidRDefault="00273C03" w:rsidP="00025BE8">
      <w:pPr>
        <w:tabs>
          <w:tab w:val="left" w:pos="4299"/>
        </w:tabs>
      </w:pPr>
      <w:r>
        <w:rPr>
          <w:noProof/>
        </w:rPr>
        <w:lastRenderedPageBreak/>
        <mc:AlternateContent>
          <mc:Choice Requires="wps">
            <w:drawing>
              <wp:anchor distT="0" distB="0" distL="114300" distR="114300" simplePos="0" relativeHeight="251670528" behindDoc="0" locked="0" layoutInCell="1" allowOverlap="1" wp14:anchorId="2B0863B3" wp14:editId="03921143">
                <wp:simplePos x="0" y="0"/>
                <wp:positionH relativeFrom="page">
                  <wp:posOffset>2491105</wp:posOffset>
                </wp:positionH>
                <wp:positionV relativeFrom="page">
                  <wp:posOffset>1040986</wp:posOffset>
                </wp:positionV>
                <wp:extent cx="4859655" cy="6559826"/>
                <wp:effectExtent l="0" t="0" r="17145" b="12700"/>
                <wp:wrapNone/>
                <wp:docPr id="2" name="Zone de texte 2"/>
                <wp:cNvGraphicFramePr/>
                <a:graphic xmlns:a="http://schemas.openxmlformats.org/drawingml/2006/main">
                  <a:graphicData uri="http://schemas.microsoft.com/office/word/2010/wordprocessingShape">
                    <wps:wsp>
                      <wps:cNvSpPr txBox="1"/>
                      <wps:spPr>
                        <a:xfrm>
                          <a:off x="0" y="0"/>
                          <a:ext cx="4859655" cy="6559826"/>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9D174" w14:textId="5394FAB4" w:rsidR="004B2BC4" w:rsidRPr="004B2BC4" w:rsidRDefault="00C75234" w:rsidP="004B2BC4">
                            <w:pPr>
                              <w:rPr>
                                <w:rFonts w:ascii="Titillium" w:hAnsi="Titillium"/>
                                <w:b/>
                                <w:color w:val="FFC000"/>
                                <w:sz w:val="20"/>
                                <w:szCs w:val="20"/>
                                <w:lang w:val="en-US"/>
                              </w:rPr>
                            </w:pPr>
                            <w:proofErr w:type="spellStart"/>
                            <w:r>
                              <w:rPr>
                                <w:rFonts w:ascii="Titillium" w:hAnsi="Titillium"/>
                                <w:b/>
                                <w:color w:val="FFC000"/>
                                <w:sz w:val="20"/>
                                <w:szCs w:val="20"/>
                                <w:lang w:val="en-US"/>
                              </w:rPr>
                              <w:t>Profil</w:t>
                            </w:r>
                            <w:proofErr w:type="spellEnd"/>
                          </w:p>
                          <w:p w14:paraId="132516ED" w14:textId="77777777" w:rsidR="004B2BC4" w:rsidRDefault="004B2BC4" w:rsidP="004B2BC4">
                            <w:pPr>
                              <w:rPr>
                                <w:rFonts w:ascii="Titillium" w:hAnsi="Titillium" w:cs="Open Sans"/>
                                <w:sz w:val="20"/>
                                <w:szCs w:val="20"/>
                                <w:lang w:val="en-US"/>
                              </w:rPr>
                            </w:pPr>
                          </w:p>
                          <w:p w14:paraId="081D93F9" w14:textId="2830DF8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Bonne culture informatique</w:t>
                            </w:r>
                            <w:r w:rsidRPr="00C75234">
                              <w:rPr>
                                <w:rFonts w:ascii="Courier New" w:hAnsi="Courier New" w:cs="Courier New"/>
                                <w:sz w:val="20"/>
                                <w:szCs w:val="20"/>
                              </w:rPr>
                              <w:t> </w:t>
                            </w:r>
                            <w:r w:rsidRPr="00C75234">
                              <w:rPr>
                                <w:rFonts w:ascii="Titillium" w:hAnsi="Titillium"/>
                                <w:sz w:val="20"/>
                                <w:szCs w:val="20"/>
                              </w:rPr>
                              <w:t>(</w:t>
                            </w:r>
                            <w:r>
                              <w:rPr>
                                <w:rFonts w:ascii="Titillium" w:hAnsi="Titillium"/>
                                <w:sz w:val="20"/>
                                <w:szCs w:val="20"/>
                              </w:rPr>
                              <w:t xml:space="preserve">Linux, </w:t>
                            </w:r>
                            <w:r w:rsidRPr="00C75234">
                              <w:rPr>
                                <w:rFonts w:ascii="Titillium" w:hAnsi="Titillium"/>
                                <w:sz w:val="20"/>
                                <w:szCs w:val="20"/>
                              </w:rPr>
                              <w:t xml:space="preserve">Microsoft, </w:t>
                            </w:r>
                            <w:proofErr w:type="gramStart"/>
                            <w:r w:rsidRPr="00C75234">
                              <w:rPr>
                                <w:rFonts w:ascii="Titillium" w:hAnsi="Titillium"/>
                                <w:sz w:val="20"/>
                                <w:szCs w:val="20"/>
                              </w:rPr>
                              <w:t>Python ,</w:t>
                            </w:r>
                            <w:proofErr w:type="gramEnd"/>
                            <w:r w:rsidRPr="00C75234">
                              <w:rPr>
                                <w:rFonts w:ascii="Titillium" w:hAnsi="Titillium"/>
                                <w:sz w:val="20"/>
                                <w:szCs w:val="20"/>
                              </w:rPr>
                              <w:t xml:space="preserve"> etc.)</w:t>
                            </w:r>
                          </w:p>
                          <w:p w14:paraId="2CE7DCAF" w14:textId="7777777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Culture ‘données’</w:t>
                            </w:r>
                            <w:r w:rsidRPr="00C75234">
                              <w:rPr>
                                <w:rFonts w:ascii="Courier New" w:hAnsi="Courier New" w:cs="Courier New"/>
                                <w:sz w:val="20"/>
                                <w:szCs w:val="20"/>
                              </w:rPr>
                              <w:t> </w:t>
                            </w:r>
                            <w:r w:rsidRPr="00C75234">
                              <w:rPr>
                                <w:rFonts w:ascii="Titillium" w:hAnsi="Titillium"/>
                                <w:sz w:val="20"/>
                                <w:szCs w:val="20"/>
                              </w:rPr>
                              <w:t>: envie de s’investir dans les métiers liés aux données</w:t>
                            </w:r>
                          </w:p>
                          <w:p w14:paraId="73FEDB59" w14:textId="7777777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Capacité à s’intégrer et à s’adapter</w:t>
                            </w:r>
                          </w:p>
                          <w:p w14:paraId="0F842951" w14:textId="7777777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Bonne rédaction</w:t>
                            </w:r>
                          </w:p>
                          <w:p w14:paraId="28C24366" w14:textId="7777777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Rigoureux</w:t>
                            </w:r>
                          </w:p>
                          <w:p w14:paraId="61B7918D" w14:textId="3FA06A3C" w:rsidR="00C75234" w:rsidRP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Autonome</w:t>
                            </w:r>
                          </w:p>
                          <w:p w14:paraId="665C1B8D" w14:textId="77777777" w:rsidR="00273C03" w:rsidRPr="00C75234" w:rsidRDefault="00273C03" w:rsidP="00273C03">
                            <w:pPr>
                              <w:rPr>
                                <w:rFonts w:ascii="Titillium" w:hAnsi="Titillium"/>
                                <w:b/>
                                <w:color w:val="FFC000"/>
                                <w:sz w:val="20"/>
                                <w:szCs w:val="20"/>
                              </w:rPr>
                            </w:pPr>
                          </w:p>
                          <w:p w14:paraId="091CA91F" w14:textId="77777777" w:rsidR="00273C03" w:rsidRPr="00C75234" w:rsidRDefault="00273C03" w:rsidP="00273C03">
                            <w:pPr>
                              <w:rPr>
                                <w:rFonts w:ascii="Titillium" w:hAnsi="Titillium"/>
                                <w:sz w:val="20"/>
                                <w:szCs w:val="20"/>
                              </w:rPr>
                            </w:pPr>
                          </w:p>
                          <w:p w14:paraId="2B90B68C" w14:textId="77777777" w:rsidR="00273C03" w:rsidRPr="00C75234" w:rsidRDefault="00273C03" w:rsidP="00273C03">
                            <w:pPr>
                              <w:rPr>
                                <w:rFonts w:ascii="Titillium" w:hAnsi="Titillium"/>
                                <w:sz w:val="20"/>
                                <w:szCs w:val="20"/>
                              </w:rPr>
                            </w:pPr>
                            <w:r w:rsidRPr="00C75234">
                              <w:rPr>
                                <w:rFonts w:ascii="Titillium" w:hAnsi="Titillium"/>
                                <w:sz w:val="20"/>
                                <w:szCs w:val="20"/>
                              </w:rPr>
                              <w:t xml:space="preserve"> </w:t>
                            </w:r>
                          </w:p>
                          <w:p w14:paraId="69B7D9BF" w14:textId="77777777" w:rsidR="00273C03" w:rsidRPr="00C75234" w:rsidRDefault="00273C03" w:rsidP="00273C03">
                            <w:pPr>
                              <w:rPr>
                                <w:rFonts w:ascii="Titillium" w:hAnsi="Titillium"/>
                                <w:sz w:val="20"/>
                                <w:szCs w:val="20"/>
                              </w:rPr>
                            </w:pPr>
                          </w:p>
                          <w:p w14:paraId="4D2959C4" w14:textId="77777777" w:rsidR="00273C03" w:rsidRPr="00C75234" w:rsidRDefault="00273C03" w:rsidP="00273C03">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273C03" w:rsidRPr="00273C03" w14:paraId="3FA57D93" w14:textId="77777777">
                              <w:trPr>
                                <w:trHeight w:val="465"/>
                              </w:trPr>
                              <w:tc>
                                <w:tcPr>
                                  <w:tcW w:w="6888" w:type="dxa"/>
                                </w:tcPr>
                                <w:p w14:paraId="466584D3" w14:textId="77777777" w:rsidR="00273C03" w:rsidRPr="00C75234" w:rsidRDefault="00273C03" w:rsidP="009051CD">
                                  <w:pPr>
                                    <w:rPr>
                                      <w:rFonts w:ascii="Titillium" w:hAnsi="Titillium"/>
                                      <w:sz w:val="20"/>
                                      <w:szCs w:val="20"/>
                                    </w:rPr>
                                  </w:pPr>
                                </w:p>
                              </w:tc>
                            </w:tr>
                          </w:tbl>
                          <w:p w14:paraId="4ACF51F5" w14:textId="77777777" w:rsidR="00273C03" w:rsidRPr="00C75234" w:rsidRDefault="00273C03" w:rsidP="00273C03">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margin-left:196.15pt;margin-top:81.95pt;width:382.65pt;height:5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" filled="f" stroked="f">
                <v:textbox inset="0,0,0,0">
                  <w:txbxContent>
                    <w:p w14:paraId="2639D174" w14:textId="5394FAB4" w:rsidR="004B2BC4" w:rsidRPr="004B2BC4" w:rsidRDefault="00C75234" w:rsidP="004B2BC4">
                      <w:pPr>
                        <w:rPr>
                          <w:rFonts w:ascii="Titillium" w:hAnsi="Titillium"/>
                          <w:b/>
                          <w:color w:val="FFC000"/>
                          <w:sz w:val="20"/>
                          <w:szCs w:val="20"/>
                          <w:lang w:val="en-US"/>
                        </w:rPr>
                      </w:pPr>
                      <w:proofErr w:type="spellStart"/>
                      <w:r>
                        <w:rPr>
                          <w:rFonts w:ascii="Titillium" w:hAnsi="Titillium"/>
                          <w:b/>
                          <w:color w:val="FFC000"/>
                          <w:sz w:val="20"/>
                          <w:szCs w:val="20"/>
                          <w:lang w:val="en-US"/>
                        </w:rPr>
                        <w:t>Profil</w:t>
                      </w:r>
                      <w:proofErr w:type="spellEnd"/>
                    </w:p>
                    <w:p w14:paraId="132516ED" w14:textId="77777777" w:rsidR="004B2BC4" w:rsidRDefault="004B2BC4" w:rsidP="004B2BC4">
                      <w:pPr>
                        <w:rPr>
                          <w:rFonts w:ascii="Titillium" w:hAnsi="Titillium" w:cs="Open Sans"/>
                          <w:sz w:val="20"/>
                          <w:szCs w:val="20"/>
                          <w:lang w:val="en-US"/>
                        </w:rPr>
                      </w:pPr>
                    </w:p>
                    <w:p w14:paraId="081D93F9" w14:textId="2830DF8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Bonne culture informatique</w:t>
                      </w:r>
                      <w:r w:rsidRPr="00C75234">
                        <w:rPr>
                          <w:rFonts w:ascii="Courier New" w:hAnsi="Courier New" w:cs="Courier New"/>
                          <w:sz w:val="20"/>
                          <w:szCs w:val="20"/>
                        </w:rPr>
                        <w:t> </w:t>
                      </w:r>
                      <w:r w:rsidRPr="00C75234">
                        <w:rPr>
                          <w:rFonts w:ascii="Titillium" w:hAnsi="Titillium"/>
                          <w:sz w:val="20"/>
                          <w:szCs w:val="20"/>
                        </w:rPr>
                        <w:t>(</w:t>
                      </w:r>
                      <w:r>
                        <w:rPr>
                          <w:rFonts w:ascii="Titillium" w:hAnsi="Titillium"/>
                          <w:sz w:val="20"/>
                          <w:szCs w:val="20"/>
                        </w:rPr>
                        <w:t xml:space="preserve">Linux, </w:t>
                      </w:r>
                      <w:r w:rsidRPr="00C75234">
                        <w:rPr>
                          <w:rFonts w:ascii="Titillium" w:hAnsi="Titillium"/>
                          <w:sz w:val="20"/>
                          <w:szCs w:val="20"/>
                        </w:rPr>
                        <w:t xml:space="preserve">Microsoft, </w:t>
                      </w:r>
                      <w:proofErr w:type="gramStart"/>
                      <w:r w:rsidRPr="00C75234">
                        <w:rPr>
                          <w:rFonts w:ascii="Titillium" w:hAnsi="Titillium"/>
                          <w:sz w:val="20"/>
                          <w:szCs w:val="20"/>
                        </w:rPr>
                        <w:t>Python ,</w:t>
                      </w:r>
                      <w:proofErr w:type="gramEnd"/>
                      <w:r w:rsidRPr="00C75234">
                        <w:rPr>
                          <w:rFonts w:ascii="Titillium" w:hAnsi="Titillium"/>
                          <w:sz w:val="20"/>
                          <w:szCs w:val="20"/>
                        </w:rPr>
                        <w:t xml:space="preserve"> etc.)</w:t>
                      </w:r>
                    </w:p>
                    <w:p w14:paraId="2CE7DCAF" w14:textId="7777777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Culture ‘données’</w:t>
                      </w:r>
                      <w:r w:rsidRPr="00C75234">
                        <w:rPr>
                          <w:rFonts w:ascii="Courier New" w:hAnsi="Courier New" w:cs="Courier New"/>
                          <w:sz w:val="20"/>
                          <w:szCs w:val="20"/>
                        </w:rPr>
                        <w:t> </w:t>
                      </w:r>
                      <w:r w:rsidRPr="00C75234">
                        <w:rPr>
                          <w:rFonts w:ascii="Titillium" w:hAnsi="Titillium"/>
                          <w:sz w:val="20"/>
                          <w:szCs w:val="20"/>
                        </w:rPr>
                        <w:t>: envie de s’investir dans les métiers liés aux données</w:t>
                      </w:r>
                    </w:p>
                    <w:p w14:paraId="73FEDB59" w14:textId="7777777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Capacité à s’intégrer et à s’adapter</w:t>
                      </w:r>
                    </w:p>
                    <w:p w14:paraId="0F842951" w14:textId="7777777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Bonne rédaction</w:t>
                      </w:r>
                    </w:p>
                    <w:p w14:paraId="28C24366" w14:textId="77777777" w:rsid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Rigoureux</w:t>
                      </w:r>
                    </w:p>
                    <w:p w14:paraId="61B7918D" w14:textId="3FA06A3C" w:rsidR="00C75234" w:rsidRPr="00C75234" w:rsidRDefault="00C75234" w:rsidP="00C75234">
                      <w:pPr>
                        <w:pStyle w:val="Paragraphedeliste"/>
                        <w:numPr>
                          <w:ilvl w:val="0"/>
                          <w:numId w:val="20"/>
                        </w:numPr>
                        <w:rPr>
                          <w:rFonts w:ascii="Titillium" w:hAnsi="Titillium"/>
                          <w:sz w:val="20"/>
                          <w:szCs w:val="20"/>
                        </w:rPr>
                      </w:pPr>
                      <w:r w:rsidRPr="00C75234">
                        <w:rPr>
                          <w:rFonts w:ascii="Titillium" w:hAnsi="Titillium"/>
                          <w:sz w:val="20"/>
                          <w:szCs w:val="20"/>
                        </w:rPr>
                        <w:t>Autonome</w:t>
                      </w:r>
                    </w:p>
                    <w:p w14:paraId="665C1B8D" w14:textId="77777777" w:rsidR="00273C03" w:rsidRPr="00C75234" w:rsidRDefault="00273C03" w:rsidP="00273C03">
                      <w:pPr>
                        <w:rPr>
                          <w:rFonts w:ascii="Titillium" w:hAnsi="Titillium"/>
                          <w:b/>
                          <w:color w:val="FFC000"/>
                          <w:sz w:val="20"/>
                          <w:szCs w:val="20"/>
                        </w:rPr>
                      </w:pPr>
                    </w:p>
                    <w:p w14:paraId="091CA91F" w14:textId="77777777" w:rsidR="00273C03" w:rsidRPr="00C75234" w:rsidRDefault="00273C03" w:rsidP="00273C03">
                      <w:pPr>
                        <w:rPr>
                          <w:rFonts w:ascii="Titillium" w:hAnsi="Titillium"/>
                          <w:sz w:val="20"/>
                          <w:szCs w:val="20"/>
                        </w:rPr>
                      </w:pPr>
                    </w:p>
                    <w:p w14:paraId="2B90B68C" w14:textId="77777777" w:rsidR="00273C03" w:rsidRPr="00C75234" w:rsidRDefault="00273C03" w:rsidP="00273C03">
                      <w:pPr>
                        <w:rPr>
                          <w:rFonts w:ascii="Titillium" w:hAnsi="Titillium"/>
                          <w:sz w:val="20"/>
                          <w:szCs w:val="20"/>
                        </w:rPr>
                      </w:pPr>
                      <w:r w:rsidRPr="00C75234">
                        <w:rPr>
                          <w:rFonts w:ascii="Titillium" w:hAnsi="Titillium"/>
                          <w:sz w:val="20"/>
                          <w:szCs w:val="20"/>
                        </w:rPr>
                        <w:t xml:space="preserve"> </w:t>
                      </w:r>
                    </w:p>
                    <w:p w14:paraId="69B7D9BF" w14:textId="77777777" w:rsidR="00273C03" w:rsidRPr="00C75234" w:rsidRDefault="00273C03" w:rsidP="00273C03">
                      <w:pPr>
                        <w:rPr>
                          <w:rFonts w:ascii="Titillium" w:hAnsi="Titillium"/>
                          <w:sz w:val="20"/>
                          <w:szCs w:val="20"/>
                        </w:rPr>
                      </w:pPr>
                    </w:p>
                    <w:p w14:paraId="4D2959C4" w14:textId="77777777" w:rsidR="00273C03" w:rsidRPr="00C75234" w:rsidRDefault="00273C03" w:rsidP="00273C03">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273C03" w:rsidRPr="00273C03" w14:paraId="3FA57D93" w14:textId="77777777">
                        <w:trPr>
                          <w:trHeight w:val="465"/>
                        </w:trPr>
                        <w:tc>
                          <w:tcPr>
                            <w:tcW w:w="6888" w:type="dxa"/>
                          </w:tcPr>
                          <w:p w14:paraId="466584D3" w14:textId="77777777" w:rsidR="00273C03" w:rsidRPr="00C75234" w:rsidRDefault="00273C03" w:rsidP="009051CD">
                            <w:pPr>
                              <w:rPr>
                                <w:rFonts w:ascii="Titillium" w:hAnsi="Titillium"/>
                                <w:sz w:val="20"/>
                                <w:szCs w:val="20"/>
                              </w:rPr>
                            </w:pPr>
                          </w:p>
                        </w:tc>
                      </w:tr>
                    </w:tbl>
                    <w:p w14:paraId="4ACF51F5" w14:textId="77777777" w:rsidR="00273C03" w:rsidRPr="00C75234" w:rsidRDefault="00273C03" w:rsidP="00273C03">
                      <w:pPr>
                        <w:rPr>
                          <w:rFonts w:ascii="Arial" w:hAnsi="Arial"/>
                          <w:b/>
                          <w:sz w:val="20"/>
                          <w:szCs w:val="20"/>
                        </w:rPr>
                      </w:pPr>
                    </w:p>
                  </w:txbxContent>
                </v:textbox>
                <w10:wrap anchorx="page" anchory="page"/>
              </v:shape>
            </w:pict>
          </mc:Fallback>
        </mc:AlternateContent>
      </w: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748"/>
    <w:multiLevelType w:val="hybridMultilevel"/>
    <w:tmpl w:val="2A4CF1D4"/>
    <w:lvl w:ilvl="0" w:tplc="D79AED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F5FB8"/>
    <w:multiLevelType w:val="hybridMultilevel"/>
    <w:tmpl w:val="D38C1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0535F1"/>
    <w:multiLevelType w:val="hybridMultilevel"/>
    <w:tmpl w:val="38D01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227AEF"/>
    <w:multiLevelType w:val="hybridMultilevel"/>
    <w:tmpl w:val="95D80D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B52E24"/>
    <w:multiLevelType w:val="hybridMultilevel"/>
    <w:tmpl w:val="973A2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79657B"/>
    <w:multiLevelType w:val="hybridMultilevel"/>
    <w:tmpl w:val="DEEA5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1C2CBB"/>
    <w:multiLevelType w:val="hybridMultilevel"/>
    <w:tmpl w:val="6534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674A0B"/>
    <w:multiLevelType w:val="hybridMultilevel"/>
    <w:tmpl w:val="98707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F05DA"/>
    <w:multiLevelType w:val="hybridMultilevel"/>
    <w:tmpl w:val="334693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F3592C"/>
    <w:multiLevelType w:val="hybridMultilevel"/>
    <w:tmpl w:val="7BB40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4"/>
  </w:num>
  <w:num w:numId="4">
    <w:abstractNumId w:val="18"/>
  </w:num>
  <w:num w:numId="5">
    <w:abstractNumId w:val="10"/>
  </w:num>
  <w:num w:numId="6">
    <w:abstractNumId w:val="12"/>
  </w:num>
  <w:num w:numId="7">
    <w:abstractNumId w:val="19"/>
  </w:num>
  <w:num w:numId="8">
    <w:abstractNumId w:val="15"/>
  </w:num>
  <w:num w:numId="9">
    <w:abstractNumId w:val="4"/>
  </w:num>
  <w:num w:numId="10">
    <w:abstractNumId w:val="11"/>
  </w:num>
  <w:num w:numId="11">
    <w:abstractNumId w:val="9"/>
  </w:num>
  <w:num w:numId="12">
    <w:abstractNumId w:val="8"/>
  </w:num>
  <w:num w:numId="13">
    <w:abstractNumId w:val="2"/>
  </w:num>
  <w:num w:numId="14">
    <w:abstractNumId w:val="5"/>
  </w:num>
  <w:num w:numId="15">
    <w:abstractNumId w:val="13"/>
  </w:num>
  <w:num w:numId="16">
    <w:abstractNumId w:val="16"/>
  </w:num>
  <w:num w:numId="17">
    <w:abstractNumId w:val="1"/>
  </w:num>
  <w:num w:numId="18">
    <w:abstractNumId w:val="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4682A"/>
    <w:rsid w:val="000A6948"/>
    <w:rsid w:val="001032F2"/>
    <w:rsid w:val="00105E2C"/>
    <w:rsid w:val="001074C5"/>
    <w:rsid w:val="001B06B9"/>
    <w:rsid w:val="001C5D36"/>
    <w:rsid w:val="001E5F4F"/>
    <w:rsid w:val="0021539E"/>
    <w:rsid w:val="00267C89"/>
    <w:rsid w:val="00273C03"/>
    <w:rsid w:val="003110EB"/>
    <w:rsid w:val="00320884"/>
    <w:rsid w:val="003A3E46"/>
    <w:rsid w:val="004127D9"/>
    <w:rsid w:val="004B2BC4"/>
    <w:rsid w:val="004F5CCA"/>
    <w:rsid w:val="00500E1D"/>
    <w:rsid w:val="00514DC8"/>
    <w:rsid w:val="005708DC"/>
    <w:rsid w:val="00586740"/>
    <w:rsid w:val="00595E06"/>
    <w:rsid w:val="005B3CF6"/>
    <w:rsid w:val="005C0EAE"/>
    <w:rsid w:val="005F7AF5"/>
    <w:rsid w:val="006F2D32"/>
    <w:rsid w:val="00775128"/>
    <w:rsid w:val="00787DD2"/>
    <w:rsid w:val="007F2844"/>
    <w:rsid w:val="008128E4"/>
    <w:rsid w:val="008C7B06"/>
    <w:rsid w:val="009051CD"/>
    <w:rsid w:val="00992C14"/>
    <w:rsid w:val="00A86720"/>
    <w:rsid w:val="00AA1281"/>
    <w:rsid w:val="00B05037"/>
    <w:rsid w:val="00BA417F"/>
    <w:rsid w:val="00BF0287"/>
    <w:rsid w:val="00C75234"/>
    <w:rsid w:val="00CA72C1"/>
    <w:rsid w:val="00CB1A33"/>
    <w:rsid w:val="00CF0EE6"/>
    <w:rsid w:val="00D11221"/>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3</cp:revision>
  <dcterms:created xsi:type="dcterms:W3CDTF">2017-09-21T13:22:00Z</dcterms:created>
  <dcterms:modified xsi:type="dcterms:W3CDTF">2017-09-21T13:33:00Z</dcterms:modified>
</cp:coreProperties>
</file>