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5AA15FFD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proofErr w:type="spellStart"/>
                            <w:r w:rsidR="00271E81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="00271E81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packing usine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5AA15FFD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proofErr w:type="spellStart"/>
                      <w:r w:rsidR="00271E81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Process</w:t>
                      </w:r>
                      <w:proofErr w:type="spellEnd"/>
                      <w:r w:rsidR="00271E81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packing usine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50D3A011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3A884C2D" w:rsidR="00025BE8" w:rsidRPr="00025BE8" w:rsidRDefault="00025BE8" w:rsidP="00025BE8"/>
    <w:p w14:paraId="141FC9F9" w14:textId="19DF2F65" w:rsidR="00787DD2" w:rsidRDefault="000A1976" w:rsidP="00025BE8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32F76F4D" wp14:editId="2229EF63">
            <wp:simplePos x="0" y="0"/>
            <wp:positionH relativeFrom="margin">
              <wp:posOffset>3555365</wp:posOffset>
            </wp:positionH>
            <wp:positionV relativeFrom="margin">
              <wp:posOffset>1117600</wp:posOffset>
            </wp:positionV>
            <wp:extent cx="1397635" cy="79438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A77F7D2" w14:textId="22941E84" w:rsidR="00025BE8" w:rsidRPr="00025BE8" w:rsidRDefault="00025BE8" w:rsidP="00025BE8"/>
    <w:p w14:paraId="4F34500F" w14:textId="038DA775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3DED4A78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Procter &amp; </w:t>
                            </w:r>
                            <w:proofErr w:type="spellStart"/>
                            <w:r w:rsid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Gamble</w:t>
                            </w:r>
                            <w:proofErr w:type="spellEnd"/>
                            <w:r w:rsid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(P&amp;G)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725BDEE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Blois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3DED4A78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71E8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Procter &amp; </w:t>
                      </w:r>
                      <w:proofErr w:type="spellStart"/>
                      <w:r w:rsidR="00271E81">
                        <w:rPr>
                          <w:rFonts w:ascii="Titillium" w:hAnsi="Titillium"/>
                          <w:sz w:val="20"/>
                          <w:szCs w:val="20"/>
                        </w:rPr>
                        <w:t>Gamble</w:t>
                      </w:r>
                      <w:proofErr w:type="spellEnd"/>
                      <w:r w:rsidR="00271E8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(P&amp;G)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725BDEE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71E81">
                        <w:rPr>
                          <w:rFonts w:ascii="Titillium" w:hAnsi="Titillium"/>
                          <w:sz w:val="20"/>
                          <w:szCs w:val="20"/>
                        </w:rPr>
                        <w:t>Blois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49BD6" w14:textId="74FB4CC8" w:rsidR="00271E81" w:rsidRP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Procter &amp; </w:t>
                            </w:r>
                            <w:proofErr w:type="spellStart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Gamble</w:t>
                            </w:r>
                            <w:proofErr w:type="spellEnd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, aujourd'hui premier groupe mondial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de produits de grande 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onsommation, commercialise plus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de 300 marques dont Ariel, Gillette, Pampers,</w:t>
                            </w:r>
                          </w:p>
                          <w:p w14:paraId="6CF3A576" w14:textId="77777777" w:rsid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Head&amp;Shoulders</w:t>
                            </w:r>
                            <w:proofErr w:type="spellEnd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..., marques leaders sur leur marché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369E5C" w14:textId="77777777" w:rsid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65E90C" w14:textId="6F334198" w:rsid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L’usine de Procter &amp; </w:t>
                            </w:r>
                            <w:proofErr w:type="spellStart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Gamble</w:t>
                            </w:r>
                            <w:proofErr w:type="spellEnd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Blois, située dans le Loir</w:t>
                            </w:r>
                            <w:r w:rsidR="00126740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et-Cher, est l’un des plus importants sites de production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de shampooing du groupe. Elle produit 3 millions de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bouteilles par jour et dispose d’environ 300 formules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conditionnées dans une centaine de packaging. Le site est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très automatisé avec un niveau de technologie à la pointe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de l’industrie cosmétique.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7F837E" w14:textId="77777777" w:rsid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B92DF9" w14:textId="77777777" w:rsid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Nous voulons vous aider à valoriser votre créativité et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innovation ainsi que votre capacité à analyser et résoudre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les problèmes en vous confiant de réelles responsabilités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dans un projet d'une réelle importance pour nos usines.</w:t>
                            </w:r>
                          </w:p>
                          <w:p w14:paraId="2C9CBB75" w14:textId="0C2596C8" w:rsidR="001032F2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Tout au long de votre alternance vous recevrez formation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et coaching de votre responsable de stage qui vous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permettront de vous développer et de mener à bien votre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projet.</w:t>
                            </w:r>
                          </w:p>
                          <w:p w14:paraId="75C52D06" w14:textId="77777777" w:rsid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5D33EB" w14:textId="77777777" w:rsidR="00271E81" w:rsidRDefault="00271E81" w:rsidP="00271E81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271E81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E90D9BD" w14:textId="296BAED4" w:rsidR="00271E81" w:rsidRPr="00271E81" w:rsidRDefault="00271E81" w:rsidP="00271E81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Utilisation des méthodes IWS (Lean </w:t>
                            </w:r>
                            <w:proofErr w:type="spellStart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Manufacturing</w:t>
                            </w:r>
                            <w:proofErr w:type="spellEnd"/>
                            <w:r w:rsidRPr="00271E81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) pour l’amélioration continue des lignes de production.</w:t>
                            </w:r>
                          </w:p>
                          <w:p w14:paraId="00AA898E" w14:textId="77777777" w:rsidR="00271E81" w:rsidRPr="00271E81" w:rsidRDefault="00271E81" w:rsidP="00271E81">
                            <w:pPr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ABD736" w14:textId="67A85E3D" w:rsidR="00271E81" w:rsidRPr="00271E81" w:rsidRDefault="00271E81" w:rsidP="00271E8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L'usine Procter &amp; </w:t>
                            </w:r>
                            <w:proofErr w:type="spellStart"/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Gamble</w:t>
                            </w:r>
                            <w:proofErr w:type="spellEnd"/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Blois se doit d'être agile pour faire face à la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compétition et ce pour répondre au plus vite au besoin du client en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respectant la qualité du produit. L'un des objectifs de l'usine est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d'améliorer et optimiser les </w:t>
                            </w:r>
                            <w:proofErr w:type="spellStart"/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des lignes de conditionnement.</w:t>
                            </w:r>
                          </w:p>
                          <w:p w14:paraId="356C01BE" w14:textId="77777777" w:rsidR="00271E81" w:rsidRPr="00271E81" w:rsidRDefault="00271E81" w:rsidP="00271E8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Dans le cadre de cette mission, vous serez en charge de :</w:t>
                            </w:r>
                          </w:p>
                          <w:p w14:paraId="065E600F" w14:textId="77777777" w:rsidR="00271E81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Développer et valider les standards des lignes</w:t>
                            </w:r>
                          </w:p>
                          <w:p w14:paraId="43D53F73" w14:textId="4E23A726" w:rsidR="00271E81" w:rsidRPr="00271E81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Participer à la qualification des équipements et des technologies</w:t>
                            </w:r>
                          </w:p>
                          <w:p w14:paraId="5070E364" w14:textId="77777777" w:rsidR="00271E81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Améliorer et optimiser les temps de changements de format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et des procédés de lavage sur les lignes de conditionnement</w:t>
                            </w:r>
                          </w:p>
                          <w:p w14:paraId="1BB587FB" w14:textId="77777777" w:rsidR="00271E81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Evaluer et éliminer les pertes au sein du département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packing/conditionnement du site</w:t>
                            </w:r>
                          </w:p>
                          <w:p w14:paraId="632A58D1" w14:textId="1E2E72F7" w:rsidR="00787DD2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271E8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Former les équipes</w:t>
                            </w:r>
                          </w:p>
                          <w:p w14:paraId="76FD2BD8" w14:textId="77777777" w:rsidR="00271E81" w:rsidRDefault="00271E81" w:rsidP="00271E81">
                            <w:pPr>
                              <w:pStyle w:val="Paragraphedeliste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EB17CF7" w14:textId="77777777" w:rsidR="00271E81" w:rsidRPr="00271E81" w:rsidRDefault="00271E81" w:rsidP="00271E81">
                            <w:pPr>
                              <w:pStyle w:val="Paragraphedeliste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0AEDFAA" w14:textId="7BE20DCE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A13C66E" w14:textId="544027AF" w:rsidR="00271E81" w:rsidRPr="00271E81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Autonomie, prise d’</w:t>
                            </w:r>
                            <w:r>
                              <w:rPr>
                                <w:rFonts w:ascii="Titillium" w:hAnsi="Titillium" w:cs="Titillium"/>
                                <w:sz w:val="20"/>
                                <w:szCs w:val="20"/>
                              </w:rPr>
                              <w:t>initiative, innovation</w:t>
                            </w:r>
                          </w:p>
                          <w:p w14:paraId="428DC80B" w14:textId="52A97862" w:rsidR="00271E81" w:rsidRPr="00271E81" w:rsidRDefault="00271E81" w:rsidP="00271E8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 w:cs="Titillium"/>
                                <w:sz w:val="20"/>
                                <w:szCs w:val="20"/>
                              </w:rPr>
                              <w:t>Maîtrise de l’annglais</w:t>
                            </w:r>
                          </w:p>
                          <w:p w14:paraId="054DE02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04649BD6" w14:textId="74FB4CC8" w:rsidR="00271E81" w:rsidRP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Procter &amp; </w:t>
                      </w:r>
                      <w:proofErr w:type="spellStart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Gamble</w:t>
                      </w:r>
                      <w:proofErr w:type="spellEnd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, aujourd'hui premier groupe mondial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de produits de grande 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c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onsommation, commercialise plus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de 300 marques dont Ariel, Gillette, Pampers,</w:t>
                      </w:r>
                    </w:p>
                    <w:p w14:paraId="6CF3A576" w14:textId="77777777" w:rsid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Head&amp;Shoulders</w:t>
                      </w:r>
                      <w:proofErr w:type="spellEnd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..., marques leaders sur leur marché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2369E5C" w14:textId="77777777" w:rsid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0465E90C" w14:textId="6F334198" w:rsid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L’usine de Procter &amp; </w:t>
                      </w:r>
                      <w:proofErr w:type="spellStart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Gamble</w:t>
                      </w:r>
                      <w:proofErr w:type="spellEnd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Blois, située dans le Loir</w:t>
                      </w:r>
                      <w:r w:rsidR="00126740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-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et-Cher, est l’un des plus importants sites de production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de shampooing du groupe. Elle produit 3 millions de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bouteilles par jour et dispose d’environ 300 formules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conditionnées dans une centaine de packaging. Le site est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très automatisé avec un niveau de technologie à la pointe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de l’industrie cosmétique.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7F837E" w14:textId="77777777" w:rsid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65B92DF9" w14:textId="77777777" w:rsid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Nous voulons vous aider à valoriser votre créativité et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innovation ainsi que votre capacité à analyser et résoudre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les problèmes en vous confiant de réelles responsabilités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dans un projet d'une réelle importance pour nos usines.</w:t>
                      </w:r>
                    </w:p>
                    <w:p w14:paraId="2C9CBB75" w14:textId="0C2596C8" w:rsidR="001032F2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Tout au long de votre alternance vous recevrez formation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et coaching de votre responsable de stage qui vous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permettront de vous développer et de mener à bien votre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projet.</w:t>
                      </w:r>
                    </w:p>
                    <w:p w14:paraId="75C52D06" w14:textId="77777777" w:rsid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285D33EB" w14:textId="77777777" w:rsidR="00271E81" w:rsidRDefault="00271E81" w:rsidP="00271E81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271E81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E90D9BD" w14:textId="296BAED4" w:rsidR="00271E81" w:rsidRPr="00271E81" w:rsidRDefault="00271E81" w:rsidP="00271E81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Utilisation des méthodes IWS (Lean </w:t>
                      </w:r>
                      <w:proofErr w:type="spellStart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Manufacturing</w:t>
                      </w:r>
                      <w:proofErr w:type="spellEnd"/>
                      <w:r w:rsidRPr="00271E81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) pour l’amélioration continue des lignes de production.</w:t>
                      </w:r>
                    </w:p>
                    <w:p w14:paraId="00AA898E" w14:textId="77777777" w:rsidR="00271E81" w:rsidRPr="00271E81" w:rsidRDefault="00271E81" w:rsidP="00271E81">
                      <w:pPr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ABD736" w14:textId="67A85E3D" w:rsidR="00271E81" w:rsidRPr="00271E81" w:rsidRDefault="00271E81" w:rsidP="00271E8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L'usine Procter &amp; </w:t>
                      </w:r>
                      <w:proofErr w:type="spellStart"/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Gamble</w:t>
                      </w:r>
                      <w:proofErr w:type="spellEnd"/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Blois se doit d'être agile pour faire face à la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compétition et ce pour répondre au plus vite au besoin du client en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respectant la qualité du produit. L'un des objectifs de l'usine est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d'améliorer et optimiser les </w:t>
                      </w:r>
                      <w:proofErr w:type="spellStart"/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process</w:t>
                      </w:r>
                      <w:proofErr w:type="spellEnd"/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des lignes de conditionnement.</w:t>
                      </w:r>
                    </w:p>
                    <w:p w14:paraId="356C01BE" w14:textId="77777777" w:rsidR="00271E81" w:rsidRPr="00271E81" w:rsidRDefault="00271E81" w:rsidP="00271E8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Dans le cadre de cette mission, vous serez en charge de :</w:t>
                      </w:r>
                    </w:p>
                    <w:p w14:paraId="065E600F" w14:textId="77777777" w:rsidR="00271E81" w:rsidRDefault="00271E81" w:rsidP="00271E8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Développer et valider les standards des lignes</w:t>
                      </w:r>
                    </w:p>
                    <w:p w14:paraId="43D53F73" w14:textId="4E23A726" w:rsidR="00271E81" w:rsidRPr="00271E81" w:rsidRDefault="00271E81" w:rsidP="00271E8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Participer à la qualification des équipements et des technologies</w:t>
                      </w:r>
                    </w:p>
                    <w:p w14:paraId="5070E364" w14:textId="77777777" w:rsidR="00271E81" w:rsidRDefault="00271E81" w:rsidP="00271E8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Améliorer et optimiser les temps de changements de format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et des procédés de lavage sur les lignes de conditionnement</w:t>
                      </w:r>
                    </w:p>
                    <w:p w14:paraId="1BB587FB" w14:textId="77777777" w:rsidR="00271E81" w:rsidRDefault="00271E81" w:rsidP="00271E8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Evaluer et éliminer les pertes au sein du département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packing/conditionnement du site</w:t>
                      </w:r>
                    </w:p>
                    <w:p w14:paraId="632A58D1" w14:textId="1E2E72F7" w:rsidR="00787DD2" w:rsidRDefault="00271E81" w:rsidP="00271E8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271E81">
                        <w:rPr>
                          <w:rFonts w:ascii="Titillium" w:hAnsi="Titillium"/>
                          <w:sz w:val="20"/>
                          <w:szCs w:val="20"/>
                        </w:rPr>
                        <w:t>Former les équipes</w:t>
                      </w:r>
                    </w:p>
                    <w:p w14:paraId="76FD2BD8" w14:textId="77777777" w:rsidR="00271E81" w:rsidRDefault="00271E81" w:rsidP="00271E81">
                      <w:pPr>
                        <w:pStyle w:val="Paragraphedeliste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EB17CF7" w14:textId="77777777" w:rsidR="00271E81" w:rsidRPr="00271E81" w:rsidRDefault="00271E81" w:rsidP="00271E81">
                      <w:pPr>
                        <w:pStyle w:val="Paragraphedeliste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0AEDFAA" w14:textId="7BE20DCE" w:rsidR="00787DD2" w:rsidRPr="00787DD2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A13C66E" w14:textId="544027AF" w:rsidR="00271E81" w:rsidRPr="00271E81" w:rsidRDefault="00271E81" w:rsidP="00271E8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Autonomie, prise d’</w:t>
                      </w:r>
                      <w:r>
                        <w:rPr>
                          <w:rFonts w:ascii="Titillium" w:hAnsi="Titillium" w:cs="Titillium"/>
                          <w:sz w:val="20"/>
                          <w:szCs w:val="20"/>
                        </w:rPr>
                        <w:t>initiative, innovation</w:t>
                      </w:r>
                    </w:p>
                    <w:p w14:paraId="428DC80B" w14:textId="52A97862" w:rsidR="00271E81" w:rsidRPr="00271E81" w:rsidRDefault="00271E81" w:rsidP="00271E8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 w:cs="Titillium"/>
                          <w:sz w:val="20"/>
                          <w:szCs w:val="20"/>
                        </w:rPr>
                        <w:t>Maîtrise de l’annglais</w:t>
                      </w:r>
                    </w:p>
                    <w:p w14:paraId="054DE02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D5"/>
    <w:multiLevelType w:val="hybridMultilevel"/>
    <w:tmpl w:val="6F22E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903"/>
    <w:multiLevelType w:val="hybridMultilevel"/>
    <w:tmpl w:val="CFBAB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1976"/>
    <w:rsid w:val="000A6948"/>
    <w:rsid w:val="001032F2"/>
    <w:rsid w:val="00105E2C"/>
    <w:rsid w:val="00126740"/>
    <w:rsid w:val="001B06B9"/>
    <w:rsid w:val="001C5D36"/>
    <w:rsid w:val="001E5F4F"/>
    <w:rsid w:val="00267C89"/>
    <w:rsid w:val="00271E81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22</cp:revision>
  <dcterms:created xsi:type="dcterms:W3CDTF">2017-04-27T13:14:00Z</dcterms:created>
  <dcterms:modified xsi:type="dcterms:W3CDTF">2017-06-02T13:23:00Z</dcterms:modified>
</cp:coreProperties>
</file>