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78957D96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9051CD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Conduite de travaux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78957D96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9051CD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Conduite de travaux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3A77F7D2" w14:textId="5FD28F8C" w:rsidR="00025BE8" w:rsidRPr="00025BE8" w:rsidRDefault="00FB73A1" w:rsidP="00025BE8">
      <w:r>
        <w:rPr>
          <w:noProof/>
        </w:rPr>
        <w:drawing>
          <wp:anchor distT="0" distB="0" distL="114300" distR="114300" simplePos="0" relativeHeight="251668480" behindDoc="0" locked="0" layoutInCell="1" allowOverlap="1" wp14:anchorId="6112D37A" wp14:editId="58E634FB">
            <wp:simplePos x="0" y="0"/>
            <wp:positionH relativeFrom="column">
              <wp:posOffset>3369945</wp:posOffset>
            </wp:positionH>
            <wp:positionV relativeFrom="paragraph">
              <wp:posOffset>100606</wp:posOffset>
            </wp:positionV>
            <wp:extent cx="1905000" cy="6572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500F" w14:textId="77777777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E2B43EE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Rabot </w:t>
                            </w:r>
                            <w:proofErr w:type="spellStart"/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</w:p>
                          <w:p w14:paraId="48A221CD" w14:textId="22996AA1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2 ans</w:t>
                            </w:r>
                          </w:p>
                          <w:p w14:paraId="30FE9334" w14:textId="17C3E36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1A33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Orsay</w:t>
                            </w:r>
                            <w:bookmarkStart w:id="0" w:name="_GoBack"/>
                            <w:bookmarkEnd w:id="0"/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1E2B43EE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Rabot </w:t>
                      </w:r>
                      <w:proofErr w:type="spellStart"/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</w:p>
                    <w:p w14:paraId="48A221CD" w14:textId="22996AA1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2 ans</w:t>
                      </w:r>
                    </w:p>
                    <w:p w14:paraId="30FE9334" w14:textId="17C3E36E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CB1A33">
                        <w:rPr>
                          <w:rFonts w:ascii="Titillium" w:hAnsi="Titillium"/>
                          <w:sz w:val="20"/>
                          <w:szCs w:val="20"/>
                        </w:rPr>
                        <w:t>Orsay</w:t>
                      </w:r>
                      <w:bookmarkStart w:id="1" w:name="_GoBack"/>
                      <w:bookmarkEnd w:id="1"/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77777777" w:rsidR="00025BE8" w:rsidRPr="00025BE8" w:rsidRDefault="00025BE8" w:rsidP="00025BE8"/>
    <w:p w14:paraId="410B8449" w14:textId="3041930D" w:rsidR="00025BE8" w:rsidRPr="00025BE8" w:rsidRDefault="00025BE8" w:rsidP="00025BE8"/>
    <w:p w14:paraId="08E924B8" w14:textId="5EB33416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7E048CE5">
                <wp:simplePos x="0" y="0"/>
                <wp:positionH relativeFrom="page">
                  <wp:posOffset>2339009</wp:posOffset>
                </wp:positionH>
                <wp:positionV relativeFrom="page">
                  <wp:posOffset>3617843</wp:posOffset>
                </wp:positionV>
                <wp:extent cx="4859655" cy="6858000"/>
                <wp:effectExtent l="0" t="0" r="1714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A443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Groupe familial indépendant et international de promotion-construction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, Rabot </w:t>
                            </w:r>
                            <w:proofErr w:type="spellStart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compte aujourd’hui parmi les 10 premiers acteurs français du BTP. </w:t>
                            </w:r>
                          </w:p>
                          <w:p w14:paraId="300DF3AD" w14:textId="77777777" w:rsidR="00D652F8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BD5B653" w14:textId="0AAB0822" w:rsidR="001E5F4F" w:rsidRPr="004127D9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  <w:t>Ces savoir-faire s’expriment en construction neuve comme en réhabilitation.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EF6234B" w14:textId="0DB9659A" w:rsidR="009051CD" w:rsidRDefault="008C7B06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8C7B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 tant qu’</w:t>
                            </w:r>
                            <w:proofErr w:type="spellStart"/>
                            <w:r w:rsidRPr="008C7B06">
                              <w:rPr>
                                <w:rFonts w:ascii="Titillium" w:hAnsi="Titillium" w:cs="Titillium"/>
                                <w:sz w:val="20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8C7B06">
                              <w:rPr>
                                <w:rFonts w:ascii="Titillium" w:hAnsi="Titillium" w:cs="Titillium"/>
                                <w:sz w:val="20"/>
                                <w:szCs w:val="20"/>
                              </w:rPr>
                              <w:t xml:space="preserve"> Ingénieur </w:t>
                            </w:r>
                            <w:r w:rsid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Conduite de Travaux </w:t>
                            </w:r>
                            <w:r w:rsidR="009051CD"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ton job sera de contribuer à la livraison de l’ouvrage au client dans les critères de qualité et délais contractuels avec un souci </w:t>
                            </w:r>
                            <w:r w:rsid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9051CD"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onstant de respect de la sécurité et du budget d’exécution défini. </w:t>
                            </w:r>
                          </w:p>
                          <w:p w14:paraId="32735610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B49FA2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Nos équipes sur chantiers sont prêtes à t’accueillir pour instaurer une relation durable avec toi. </w:t>
                            </w:r>
                          </w:p>
                          <w:p w14:paraId="135CC3D9" w14:textId="77777777" w:rsid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Nous te donnerons les moyens de t’investir dans l’organisation de la sécurité sur chantier et au respect de l’environnement. </w:t>
                            </w:r>
                          </w:p>
                          <w:p w14:paraId="1C7B8ADB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25EF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Rigoureux, </w:t>
                            </w: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tu concourras à l’organisation du travail dans le respect du cadre légal. </w:t>
                            </w:r>
                          </w:p>
                          <w:p w14:paraId="61063450" w14:textId="420F0C2D" w:rsid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Autonome, </w:t>
                            </w: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nous sommes convaincus que tu auras l’occasion de t’accomplir dans tes projets en accompagnant ton tuteur/maître d’apprentissage dans la phase de préparation de chantier (définition des méthodes et moyens, établissement les plannings, gestion des contacts et négociations avec la maîtrise d’ouvrage, maîtrise d’œuvre, sous-traitants et les différents partenaires). </w:t>
                            </w:r>
                          </w:p>
                          <w:p w14:paraId="2BC630CA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11CFE2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Nous comptons sur toi pour </w:t>
                            </w:r>
                            <w:r w:rsidRPr="009051CD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travailler en mode projet </w:t>
                            </w: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en participant à la réalisation du chantier sur les plans techniques, administratifs et budgétaires jusqu’à garantir le parfait achèvement des travaux </w:t>
                            </w:r>
                          </w:p>
                          <w:p w14:paraId="4CED8FA3" w14:textId="3460DD61" w:rsidR="008C7B06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Enfin, nous t’impliquerons également dans la phase de clôture de chantier.</w:t>
                            </w: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5C9B6921" w14:textId="77777777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9051CD"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Profil H/F </w:t>
                                  </w:r>
                                </w:p>
                                <w:p w14:paraId="497E77B0" w14:textId="77777777" w:rsidR="00D652F8" w:rsidRDefault="00D652F8" w:rsidP="009051C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7D5C55" w14:textId="24B505E3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  <w:t xml:space="preserve">Tu prépares un diplôme de niveau Bac+5 et tu souhaites une expérience professionnelle durant laquelle tu pourras exprimer ta valeur et avoir des responsabilités. </w:t>
                                  </w: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84.85pt;width:382.65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" filled="f" stroked="f">
                <v:textbox inset="0,0,0,0">
                  <w:txbxContent>
                    <w:p w14:paraId="62FFA443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Groupe familial indépendant et international de promotion-construction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, Rabot </w:t>
                      </w:r>
                      <w:proofErr w:type="spellStart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compte aujourd’hui parmi les 10 premiers acteurs français du BTP. </w:t>
                      </w:r>
                    </w:p>
                    <w:p w14:paraId="300DF3AD" w14:textId="77777777" w:rsidR="00D652F8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BD5B653" w14:textId="0AAB0822" w:rsidR="001E5F4F" w:rsidRPr="004127D9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  <w:t>Ces savoir-faire s’expriment en construction neuve comme en réhabilitation.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EF6234B" w14:textId="0DB9659A" w:rsidR="009051CD" w:rsidRDefault="008C7B06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8C7B06">
                        <w:rPr>
                          <w:rFonts w:ascii="Titillium" w:hAnsi="Titillium"/>
                          <w:sz w:val="20"/>
                          <w:szCs w:val="20"/>
                        </w:rPr>
                        <w:t>En tant qu’</w:t>
                      </w:r>
                      <w:proofErr w:type="spellStart"/>
                      <w:r w:rsidRPr="008C7B06">
                        <w:rPr>
                          <w:rFonts w:ascii="Titillium" w:hAnsi="Titillium" w:cs="Titillium"/>
                          <w:sz w:val="20"/>
                          <w:szCs w:val="20"/>
                        </w:rPr>
                        <w:t>apprenti.e</w:t>
                      </w:r>
                      <w:proofErr w:type="spellEnd"/>
                      <w:r w:rsidRPr="008C7B06">
                        <w:rPr>
                          <w:rFonts w:ascii="Titillium" w:hAnsi="Titillium" w:cs="Titillium"/>
                          <w:sz w:val="20"/>
                          <w:szCs w:val="20"/>
                        </w:rPr>
                        <w:t xml:space="preserve"> Ingénieur </w:t>
                      </w:r>
                      <w:r w:rsid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Conduite de Travaux </w:t>
                      </w:r>
                      <w:r w:rsidR="009051CD"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ton job sera de contribuer à la livraison de l’ouvrage au client dans les critères de qualité et délais contractuels avec un souci </w:t>
                      </w:r>
                      <w:r w:rsid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</w:t>
                      </w:r>
                      <w:r w:rsidR="009051CD"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onstant de respect de la sécurité et du budget d’exécution défini. </w:t>
                      </w:r>
                    </w:p>
                    <w:p w14:paraId="32735610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13B49FA2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Nos équipes sur chantiers sont prêtes à t’accueillir pour instaurer une relation durable avec toi. </w:t>
                      </w:r>
                    </w:p>
                    <w:p w14:paraId="135CC3D9" w14:textId="77777777" w:rsid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Nous te donnerons les moyens de t’investir dans l’organisation de la sécurité sur chantier et au respect de l’environnement. </w:t>
                      </w:r>
                    </w:p>
                    <w:p w14:paraId="1C7B8ADB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68D225EF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Rigoureux, </w:t>
                      </w: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tu concourras à l’organisation du travail dans le respect du cadre légal. </w:t>
                      </w:r>
                    </w:p>
                    <w:p w14:paraId="61063450" w14:textId="420F0C2D" w:rsid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Autonome, </w:t>
                      </w: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nous sommes convaincus que tu auras l’occasion de t’accomplir dans tes projets en accompagnant ton tuteur/maître d’apprentissage dans la phase de préparation de chantier (définition des méthodes et moyens, établissement les plannings, gestion des contacts et négociations avec la maîtrise d’ouvrage, maîtrise d’œuvre, sous-traitants et les différents partenaires). </w:t>
                      </w:r>
                    </w:p>
                    <w:p w14:paraId="2BC630CA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4611CFE2" w14:textId="77777777" w:rsidR="009051CD" w:rsidRPr="009051CD" w:rsidRDefault="009051CD" w:rsidP="009051CD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Nous comptons sur toi pour </w:t>
                      </w:r>
                      <w:r w:rsidRPr="009051CD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travailler en mode projet </w:t>
                      </w: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en participant à la réalisation du chantier sur les plans techniques, administratifs et budgétaires jusqu’à garantir le parfait achèvement des travaux </w:t>
                      </w:r>
                    </w:p>
                    <w:p w14:paraId="4CED8FA3" w14:textId="3460DD61" w:rsidR="008C7B06" w:rsidRDefault="009051CD" w:rsidP="009051CD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051CD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Enfin, nous t’impliquerons également dans la phase de clôture de chantier.</w:t>
                      </w: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5C9B6921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H/F </w:t>
                            </w:r>
                          </w:p>
                          <w:p w14:paraId="497E77B0" w14:textId="77777777" w:rsidR="00D652F8" w:rsidRDefault="00D652F8" w:rsidP="009051C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F7D5C55" w14:textId="24B505E3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Tu prépares un diplôme de niveau Bac+5 et tu souhaites une expérience professionnelle durant laquelle tu pourras exprimer ta valeur et avoir des responsabilités. </w:t>
                            </w: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288CB013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775128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17</cp:revision>
  <dcterms:created xsi:type="dcterms:W3CDTF">2017-04-27T13:14:00Z</dcterms:created>
  <dcterms:modified xsi:type="dcterms:W3CDTF">2017-05-05T12:47:00Z</dcterms:modified>
</cp:coreProperties>
</file>