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57DA673B" w:rsidR="001032F2" w:rsidRPr="00595E06" w:rsidRDefault="00C62E3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Méthodes – Bureau d’études</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57DA673B" w:rsidR="001032F2" w:rsidRPr="00595E06" w:rsidRDefault="00C62E3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Méthodes – Bureau d’études</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294CBC1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EF66F6C" w:rsidR="00025BE8" w:rsidRPr="00025BE8" w:rsidRDefault="00025BE8" w:rsidP="00025BE8"/>
    <w:p w14:paraId="141FC9F9" w14:textId="3A78F4EE" w:rsidR="00787DD2" w:rsidRDefault="00C62E38" w:rsidP="00025BE8">
      <w:pPr>
        <w:rPr>
          <w:noProof/>
        </w:rPr>
      </w:pPr>
      <w:r>
        <w:rPr>
          <w:noProof/>
        </w:rPr>
        <w:drawing>
          <wp:anchor distT="0" distB="0" distL="114300" distR="114300" simplePos="0" relativeHeight="251668480" behindDoc="0" locked="0" layoutInCell="1" allowOverlap="1" wp14:anchorId="58D73B1E" wp14:editId="0091CA97">
            <wp:simplePos x="0" y="0"/>
            <wp:positionH relativeFrom="margin">
              <wp:posOffset>3283585</wp:posOffset>
            </wp:positionH>
            <wp:positionV relativeFrom="margin">
              <wp:posOffset>1243330</wp:posOffset>
            </wp:positionV>
            <wp:extent cx="2000885" cy="595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0885" cy="595630"/>
                    </a:xfrm>
                    <a:prstGeom prst="rect">
                      <a:avLst/>
                    </a:prstGeom>
                  </pic:spPr>
                </pic:pic>
              </a:graphicData>
            </a:graphic>
            <wp14:sizeRelH relativeFrom="margin">
              <wp14:pctWidth>0</wp14:pctWidth>
            </wp14:sizeRelH>
            <wp14:sizeRelV relativeFrom="margin">
              <wp14:pctHeight>0</wp14:pctHeight>
            </wp14:sizeRelV>
          </wp:anchor>
        </w:drawing>
      </w:r>
    </w:p>
    <w:p w14:paraId="3A77F7D2" w14:textId="7C20A07C" w:rsidR="00025BE8" w:rsidRPr="00025BE8" w:rsidRDefault="00025BE8" w:rsidP="00025BE8"/>
    <w:p w14:paraId="4F34500F" w14:textId="34018C87" w:rsidR="00025BE8" w:rsidRPr="00025BE8" w:rsidRDefault="00025BE8" w:rsidP="00025BE8"/>
    <w:p w14:paraId="2D0246D5" w14:textId="27DE7721" w:rsidR="00025BE8" w:rsidRPr="00025BE8" w:rsidRDefault="00025BE8" w:rsidP="00025BE8"/>
    <w:p w14:paraId="5A9E2497" w14:textId="77777777" w:rsidR="00025BE8" w:rsidRPr="00025BE8" w:rsidRDefault="00025BE8" w:rsidP="00025BE8"/>
    <w:p w14:paraId="7D161DA5" w14:textId="7278035C" w:rsidR="00025BE8" w:rsidRPr="00025BE8" w:rsidRDefault="00D30E48" w:rsidP="00025BE8">
      <w:r>
        <w:rPr>
          <w:noProof/>
        </w:rPr>
        <mc:AlternateContent>
          <mc:Choice Requires="wps">
            <w:drawing>
              <wp:anchor distT="0" distB="0" distL="114300" distR="114300" simplePos="0" relativeHeight="251665408" behindDoc="0" locked="0" layoutInCell="1" allowOverlap="1" wp14:anchorId="2D5E4861" wp14:editId="547F2663">
                <wp:simplePos x="0" y="0"/>
                <wp:positionH relativeFrom="page">
                  <wp:posOffset>2338705</wp:posOffset>
                </wp:positionH>
                <wp:positionV relativeFrom="page">
                  <wp:posOffset>2661561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0889119C"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C62E38">
                              <w:rPr>
                                <w:rFonts w:ascii="Titillium" w:hAnsi="Titillium"/>
                                <w:sz w:val="20"/>
                                <w:szCs w:val="20"/>
                              </w:rPr>
                              <w:t>Suez</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65FA5CD2"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C62E38">
                              <w:rPr>
                                <w:rFonts w:ascii="Titillium" w:hAnsi="Titillium"/>
                                <w:sz w:val="20"/>
                                <w:szCs w:val="20"/>
                              </w:rPr>
                              <w:t>Montlouis-sur-Loire - 37</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9.5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Fv2Rz3g&#10;AAAADAEAAA8AAABkcnMvZG93bnJldi54bWxMj8FOwzAQRO9I/IO1SNyok4ZEJcSpEBKVkMqBAj07&#10;9hJHxOsodpPw93VPcFzN08zbarvYnk04+s6RgHSVAENSTnfUCvj8eLnbAPNBkpa9IxTwix629fVV&#10;JUvtZnrH6RBaFkvIl1KACWEoOffKoJV+5QakmH270coQz7HlepRzLLc9XydJwa3sKC4YOeCzQfVz&#10;OFkBUr01zit65fbL2Gm3X8+741GI25vl6RFYwCX8wXDRj+pQR6fGnUh71gvIik0WUQH36UMK7EKk&#10;WVYAawTkeZIDryv+/4n6DAAA//8DAFBLAQItABQABgAIAAAAIQC2gziS/gAAAOEBAAATAAAAAAAA&#10;AAAAAAAAAAAAAABbQ29udGVudF9UeXBlc10ueG1sUEsBAi0AFAAGAAgAAAAhADj9If/WAAAAlAEA&#10;AAsAAAAAAAAAAAAAAAAALwEAAF9yZWxzLy5yZWxzUEsBAi0AFAAGAAgAAAAhAH+hkv/rAgAABwYA&#10;AA4AAAAAAAAAAAAAAAAALgIAAGRycy9lMm9Eb2MueG1sUEsBAi0AFAAGAAgAAAAhAFv2Rz3gAAAA&#10;DAEAAA8AAAAAAAAAAAAAAAAARQUAAGRycy9kb3ducmV2LnhtbFBLBQYAAAAABAAEAPMAAABSBgAA&#10;AAA=&#10;" filled="f" strokecolor="#ffc000" strokeweight="2.25pt">
                <v:textbox inset="0,0,0,0">
                  <w:txbxContent>
                    <w:p w14:paraId="003EC94E" w14:textId="0889119C"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C62E38">
                        <w:rPr>
                          <w:rFonts w:ascii="Titillium" w:hAnsi="Titillium"/>
                          <w:sz w:val="20"/>
                          <w:szCs w:val="20"/>
                        </w:rPr>
                        <w:t>Suez</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65FA5CD2"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C62E38">
                        <w:rPr>
                          <w:rFonts w:ascii="Titillium" w:hAnsi="Titillium"/>
                          <w:sz w:val="20"/>
                          <w:szCs w:val="20"/>
                        </w:rPr>
                        <w:t>Montlouis-sur-Loire - 37</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3C96464B" w14:textId="7A037A4E"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3ABB2A71" w:rsidR="00025BE8" w:rsidRPr="00025BE8" w:rsidRDefault="00025BE8" w:rsidP="00025BE8"/>
    <w:p w14:paraId="410B8449" w14:textId="74F36722" w:rsidR="00025BE8" w:rsidRPr="00025BE8" w:rsidRDefault="00025BE8" w:rsidP="00025BE8"/>
    <w:p w14:paraId="08E924B8" w14:textId="3957F191" w:rsidR="00025BE8" w:rsidRPr="00025BE8" w:rsidRDefault="00D30E48" w:rsidP="00025BE8">
      <w:r>
        <w:rPr>
          <w:noProof/>
        </w:rPr>
        <mc:AlternateContent>
          <mc:Choice Requires="wps">
            <w:drawing>
              <wp:anchor distT="0" distB="0" distL="114300" distR="114300" simplePos="0" relativeHeight="251667456" behindDoc="0" locked="0" layoutInCell="1" allowOverlap="1" wp14:anchorId="2B4CB3F7" wp14:editId="4BBD73FD">
                <wp:simplePos x="0" y="0"/>
                <wp:positionH relativeFrom="page">
                  <wp:posOffset>2338705</wp:posOffset>
                </wp:positionH>
                <wp:positionV relativeFrom="page">
                  <wp:posOffset>3816350</wp:posOffset>
                </wp:positionV>
                <wp:extent cx="4859655" cy="6817360"/>
                <wp:effectExtent l="0" t="0" r="17145" b="2540"/>
                <wp:wrapNone/>
                <wp:docPr id="7" name="Zone de texte 7"/>
                <wp:cNvGraphicFramePr/>
                <a:graphic xmlns:a="http://schemas.openxmlformats.org/drawingml/2006/main">
                  <a:graphicData uri="http://schemas.microsoft.com/office/word/2010/wordprocessingShape">
                    <wps:wsp>
                      <wps:cNvSpPr txBox="1"/>
                      <wps:spPr>
                        <a:xfrm>
                          <a:off x="0" y="0"/>
                          <a:ext cx="4859655" cy="681736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392E1" w14:textId="5E64B088" w:rsidR="00256741" w:rsidRPr="00D30E48" w:rsidRDefault="00C62E38" w:rsidP="00D30E48">
                            <w:pPr>
                              <w:autoSpaceDE w:val="0"/>
                              <w:autoSpaceDN w:val="0"/>
                              <w:adjustRightInd w:val="0"/>
                              <w:rPr>
                                <w:rFonts w:ascii="Titillium" w:hAnsi="Titillium" w:cs="Calibri"/>
                                <w:color w:val="000000"/>
                                <w:sz w:val="20"/>
                                <w:szCs w:val="20"/>
                              </w:rPr>
                            </w:pPr>
                            <w:r w:rsidRPr="00C62E38">
                              <w:rPr>
                                <w:rFonts w:ascii="Titillium" w:hAnsi="Titillium" w:cs="Calibri"/>
                                <w:color w:val="000000"/>
                                <w:sz w:val="20"/>
                                <w:szCs w:val="20"/>
                              </w:rPr>
                              <w:t>Présent sur les 5 continents, fort de ses 80 000 collaborateurs, SUEZ environnement est un groupe de services et de solutions industrielles spécialisé dans la valorisation et la sécurisation des ressources. SUEZ environnement Recyclage &amp; Valorisation des déchets propose des solutions de gestion et de valorisation matière, énergétique et biologique de tous types de déchets pour produire de nouvelles ressources. Les équipes de cette activité contribuent à la collecte, au tri, au démantèlement, au recyclage, à la valorisation et la commercialisation de nouvelles ressources et des services spécialisés sur sites et industriels.</w:t>
                            </w:r>
                          </w:p>
                          <w:p w14:paraId="57ACEEA6" w14:textId="77777777" w:rsidR="00256741" w:rsidRDefault="00256741" w:rsidP="00256741">
                            <w:pPr>
                              <w:rPr>
                                <w:rFonts w:ascii="Titillium" w:hAnsi="Titillium"/>
                                <w:b/>
                                <w:sz w:val="20"/>
                                <w:szCs w:val="20"/>
                              </w:rPr>
                            </w:pPr>
                          </w:p>
                          <w:p w14:paraId="50A21594" w14:textId="77777777" w:rsidR="00C62E38" w:rsidRDefault="00C62E38" w:rsidP="00256741">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061D423E" w14:textId="77777777" w:rsidR="00C62E38" w:rsidRPr="00C62E38" w:rsidRDefault="00C62E38" w:rsidP="00C62E38">
                            <w:pPr>
                              <w:rPr>
                                <w:rFonts w:ascii="Titillium" w:hAnsi="Titillium" w:cs="Calibri"/>
                                <w:b/>
                                <w:color w:val="000000"/>
                                <w:sz w:val="20"/>
                                <w:szCs w:val="20"/>
                              </w:rPr>
                            </w:pPr>
                            <w:r w:rsidRPr="00C62E38">
                              <w:rPr>
                                <w:rFonts w:ascii="Titillium" w:hAnsi="Titillium" w:cs="Calibri"/>
                                <w:color w:val="000000"/>
                                <w:sz w:val="20"/>
                                <w:szCs w:val="20"/>
                              </w:rPr>
                              <w:t>Dans le cadre de votre apprentissage, afin d’acquérir les compétences nécessaires pour vous préparer à la fonction de Ingénieur Méthodes / Bureau d’Etudes (H/F), vous participerez à</w:t>
                            </w:r>
                            <w:r w:rsidRPr="00C62E38">
                              <w:rPr>
                                <w:rFonts w:ascii="Courier New" w:hAnsi="Courier New" w:cs="Courier New"/>
                                <w:color w:val="000000"/>
                                <w:sz w:val="20"/>
                                <w:szCs w:val="20"/>
                              </w:rPr>
                              <w:t> </w:t>
                            </w:r>
                            <w:r w:rsidRPr="00C62E38">
                              <w:rPr>
                                <w:rFonts w:ascii="Titillium" w:hAnsi="Titillium" w:cs="Calibri"/>
                                <w:color w:val="000000"/>
                                <w:sz w:val="20"/>
                                <w:szCs w:val="20"/>
                              </w:rPr>
                              <w:t>l</w:t>
                            </w:r>
                            <w:r w:rsidRPr="00C62E38">
                              <w:rPr>
                                <w:rFonts w:ascii="Titillium" w:hAnsi="Titillium" w:cs="Titillium"/>
                                <w:color w:val="000000"/>
                                <w:sz w:val="20"/>
                                <w:szCs w:val="20"/>
                              </w:rPr>
                              <w:t>’</w:t>
                            </w:r>
                            <w:r w:rsidRPr="00C62E38">
                              <w:rPr>
                                <w:rFonts w:ascii="Titillium" w:hAnsi="Titillium" w:cs="Calibri"/>
                                <w:color w:val="000000"/>
                                <w:sz w:val="20"/>
                                <w:szCs w:val="20"/>
                              </w:rPr>
                              <w:t>analyse de donn</w:t>
                            </w:r>
                            <w:r w:rsidRPr="00C62E38">
                              <w:rPr>
                                <w:rFonts w:ascii="Titillium" w:hAnsi="Titillium" w:cs="Titillium"/>
                                <w:color w:val="000000"/>
                                <w:sz w:val="20"/>
                                <w:szCs w:val="20"/>
                              </w:rPr>
                              <w:t>é</w:t>
                            </w:r>
                            <w:r w:rsidRPr="00C62E38">
                              <w:rPr>
                                <w:rFonts w:ascii="Titillium" w:hAnsi="Titillium" w:cs="Calibri"/>
                                <w:color w:val="000000"/>
                                <w:sz w:val="20"/>
                                <w:szCs w:val="20"/>
                              </w:rPr>
                              <w:t>es internes dans le cadre de r</w:t>
                            </w:r>
                            <w:r w:rsidRPr="00C62E38">
                              <w:rPr>
                                <w:rFonts w:ascii="Titillium" w:hAnsi="Titillium" w:cs="Titillium"/>
                                <w:color w:val="000000"/>
                                <w:sz w:val="20"/>
                                <w:szCs w:val="20"/>
                              </w:rPr>
                              <w:t>é</w:t>
                            </w:r>
                            <w:r w:rsidRPr="00C62E38">
                              <w:rPr>
                                <w:rFonts w:ascii="Titillium" w:hAnsi="Titillium" w:cs="Calibri"/>
                                <w:color w:val="000000"/>
                                <w:sz w:val="20"/>
                                <w:szCs w:val="20"/>
                              </w:rPr>
                              <w:t xml:space="preserve">ponses </w:t>
                            </w:r>
                            <w:r w:rsidRPr="00C62E38">
                              <w:rPr>
                                <w:rFonts w:ascii="Titillium" w:hAnsi="Titillium" w:cs="Titillium"/>
                                <w:color w:val="000000"/>
                                <w:sz w:val="20"/>
                                <w:szCs w:val="20"/>
                              </w:rPr>
                              <w:t>à</w:t>
                            </w:r>
                            <w:r w:rsidRPr="00C62E38">
                              <w:rPr>
                                <w:rFonts w:ascii="Titillium" w:hAnsi="Titillium" w:cs="Calibri"/>
                                <w:color w:val="000000"/>
                                <w:sz w:val="20"/>
                                <w:szCs w:val="20"/>
                              </w:rPr>
                              <w:t xml:space="preserve"> appels d</w:t>
                            </w:r>
                            <w:r w:rsidRPr="00C62E38">
                              <w:rPr>
                                <w:rFonts w:ascii="Titillium" w:hAnsi="Titillium" w:cs="Titillium"/>
                                <w:color w:val="000000"/>
                                <w:sz w:val="20"/>
                                <w:szCs w:val="20"/>
                              </w:rPr>
                              <w:t>’</w:t>
                            </w:r>
                            <w:r w:rsidRPr="00C62E38">
                              <w:rPr>
                                <w:rFonts w:ascii="Titillium" w:hAnsi="Titillium" w:cs="Calibri"/>
                                <w:color w:val="000000"/>
                                <w:sz w:val="20"/>
                                <w:szCs w:val="20"/>
                              </w:rPr>
                              <w:t>offres clients industriels.</w:t>
                            </w:r>
                          </w:p>
                          <w:p w14:paraId="2B82F5F8" w14:textId="77777777" w:rsidR="00C62E38" w:rsidRPr="00C62E38" w:rsidRDefault="00C62E38" w:rsidP="00C62E38">
                            <w:pPr>
                              <w:rPr>
                                <w:rFonts w:ascii="Titillium" w:hAnsi="Titillium" w:cs="Calibri"/>
                                <w:color w:val="000000"/>
                                <w:sz w:val="20"/>
                                <w:szCs w:val="20"/>
                              </w:rPr>
                            </w:pPr>
                          </w:p>
                          <w:p w14:paraId="098B4C9A"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La compréhension des besoins du client,</w:t>
                            </w:r>
                          </w:p>
                          <w:p w14:paraId="40067016"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Le dimensionnement de la prestation,</w:t>
                            </w:r>
                          </w:p>
                          <w:p w14:paraId="5206C20D"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Le chiffrage de la prestation,</w:t>
                            </w:r>
                          </w:p>
                          <w:p w14:paraId="684F4031"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 xml:space="preserve">Le développement de solutions diverses (optimisation du schéma logistique, des matériels de tri et de collecte, des solutions de valorisation, </w:t>
                            </w:r>
                            <w:proofErr w:type="spellStart"/>
                            <w:r w:rsidRPr="00C62E38">
                              <w:rPr>
                                <w:rFonts w:ascii="Titillium" w:hAnsi="Titillium" w:cs="Calibri"/>
                                <w:color w:val="000000"/>
                                <w:sz w:val="20"/>
                                <w:szCs w:val="20"/>
                              </w:rPr>
                              <w:t>éxuoires</w:t>
                            </w:r>
                            <w:proofErr w:type="spellEnd"/>
                            <w:r w:rsidRPr="00C62E38">
                              <w:rPr>
                                <w:rFonts w:ascii="Titillium" w:hAnsi="Titillium" w:cs="Calibri"/>
                                <w:color w:val="000000"/>
                                <w:sz w:val="20"/>
                                <w:szCs w:val="20"/>
                              </w:rPr>
                              <w:t>/</w:t>
                            </w:r>
                            <w:proofErr w:type="spellStart"/>
                            <w:r w:rsidRPr="00C62E38">
                              <w:rPr>
                                <w:rFonts w:ascii="Titillium" w:hAnsi="Titillium" w:cs="Calibri"/>
                                <w:color w:val="000000"/>
                                <w:sz w:val="20"/>
                                <w:szCs w:val="20"/>
                              </w:rPr>
                              <w:t>filières</w:t>
                            </w:r>
                            <w:proofErr w:type="gramStart"/>
                            <w:r w:rsidRPr="00C62E38">
                              <w:rPr>
                                <w:rFonts w:ascii="Titillium" w:hAnsi="Titillium" w:cs="Calibri"/>
                                <w:color w:val="000000"/>
                                <w:sz w:val="20"/>
                                <w:szCs w:val="20"/>
                              </w:rPr>
                              <w:t>,etc</w:t>
                            </w:r>
                            <w:proofErr w:type="spellEnd"/>
                            <w:proofErr w:type="gramEnd"/>
                            <w:r w:rsidRPr="00C62E38">
                              <w:rPr>
                                <w:rFonts w:ascii="Titillium" w:hAnsi="Titillium" w:cs="Calibri"/>
                                <w:color w:val="000000"/>
                                <w:sz w:val="20"/>
                                <w:szCs w:val="20"/>
                              </w:rPr>
                              <w:t>…</w:t>
                            </w:r>
                          </w:p>
                          <w:p w14:paraId="435E7EFA"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Le calcul de la rentabilité,</w:t>
                            </w:r>
                          </w:p>
                          <w:p w14:paraId="1B3A1B3C"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L’aide à la rédaction des offres.</w:t>
                            </w:r>
                          </w:p>
                          <w:p w14:paraId="1F337B2E" w14:textId="77777777" w:rsidR="00C62E38" w:rsidRPr="00C62E38" w:rsidRDefault="00C62E38" w:rsidP="00C62E38">
                            <w:pPr>
                              <w:rPr>
                                <w:rFonts w:ascii="Titillium" w:hAnsi="Titillium" w:cs="Calibri"/>
                                <w:color w:val="000000"/>
                                <w:sz w:val="20"/>
                                <w:szCs w:val="20"/>
                              </w:rPr>
                            </w:pPr>
                          </w:p>
                          <w:p w14:paraId="150957E6" w14:textId="77777777" w:rsidR="00C62E38" w:rsidRPr="00C62E38" w:rsidRDefault="00C62E38" w:rsidP="00C62E38">
                            <w:pPr>
                              <w:rPr>
                                <w:rFonts w:ascii="Titillium" w:hAnsi="Titillium" w:cs="Calibri"/>
                                <w:color w:val="000000"/>
                                <w:sz w:val="20"/>
                                <w:szCs w:val="20"/>
                              </w:rPr>
                            </w:pPr>
                            <w:r w:rsidRPr="00C62E38">
                              <w:rPr>
                                <w:rFonts w:ascii="Titillium" w:hAnsi="Titillium" w:cs="Calibri"/>
                                <w:color w:val="000000"/>
                                <w:sz w:val="20"/>
                                <w:szCs w:val="20"/>
                              </w:rPr>
                              <w:t xml:space="preserve">Vous serez rattaché </w:t>
                            </w:r>
                            <w:r w:rsidRPr="00C62E38">
                              <w:rPr>
                                <w:rFonts w:ascii="Titillium" w:hAnsi="Titillium" w:cs="Calibri"/>
                                <w:b/>
                                <w:color w:val="000000"/>
                                <w:sz w:val="20"/>
                                <w:szCs w:val="20"/>
                              </w:rPr>
                              <w:t>au Service Commercial Entreprises</w:t>
                            </w:r>
                            <w:r w:rsidRPr="00C62E38">
                              <w:rPr>
                                <w:rFonts w:ascii="Titillium" w:hAnsi="Titillium" w:cs="Calibri"/>
                                <w:color w:val="000000"/>
                                <w:sz w:val="20"/>
                                <w:szCs w:val="20"/>
                              </w:rPr>
                              <w:t>, sous l’autorité du Chef des Ventes.</w:t>
                            </w:r>
                          </w:p>
                          <w:p w14:paraId="227DD146" w14:textId="77777777" w:rsidR="00C62E38" w:rsidRPr="00C62E38" w:rsidRDefault="00C62E38" w:rsidP="00C62E38">
                            <w:pPr>
                              <w:rPr>
                                <w:rFonts w:ascii="Titillium" w:hAnsi="Titillium" w:cs="Calibri"/>
                                <w:color w:val="000000"/>
                                <w:sz w:val="20"/>
                                <w:szCs w:val="20"/>
                              </w:rPr>
                            </w:pPr>
                          </w:p>
                          <w:p w14:paraId="4FD21F2E" w14:textId="77777777" w:rsidR="00C62E38" w:rsidRPr="00C62E38" w:rsidRDefault="00C62E38" w:rsidP="00C62E38">
                            <w:pPr>
                              <w:rPr>
                                <w:rFonts w:ascii="Titillium" w:hAnsi="Titillium" w:cs="Calibri"/>
                                <w:color w:val="000000"/>
                                <w:sz w:val="20"/>
                                <w:szCs w:val="20"/>
                              </w:rPr>
                            </w:pPr>
                            <w:r w:rsidRPr="00C62E38">
                              <w:rPr>
                                <w:rFonts w:ascii="Titillium" w:hAnsi="Titillium" w:cs="Calibri"/>
                                <w:color w:val="000000"/>
                                <w:sz w:val="20"/>
                                <w:szCs w:val="20"/>
                              </w:rPr>
                              <w:t>Vos responsabilités sont en autres :</w:t>
                            </w:r>
                          </w:p>
                          <w:p w14:paraId="4B02FCC1"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 xml:space="preserve">d’accompagner les </w:t>
                            </w:r>
                            <w:proofErr w:type="spellStart"/>
                            <w:r w:rsidRPr="00C62E38">
                              <w:rPr>
                                <w:rFonts w:ascii="Titillium" w:hAnsi="Titillium" w:cs="Calibri"/>
                                <w:color w:val="000000"/>
                                <w:sz w:val="20"/>
                                <w:szCs w:val="20"/>
                              </w:rPr>
                              <w:t>Technicos</w:t>
                            </w:r>
                            <w:proofErr w:type="spellEnd"/>
                            <w:r w:rsidRPr="00C62E38">
                              <w:rPr>
                                <w:rFonts w:ascii="Titillium" w:hAnsi="Titillium" w:cs="Calibri"/>
                                <w:color w:val="000000"/>
                                <w:sz w:val="20"/>
                                <w:szCs w:val="20"/>
                              </w:rPr>
                              <w:t xml:space="preserve"> Commerciaux chez les clients, sur les chantiers ou sur sites afin d'identifier et d'effectuer les relevés nécessaires et les diagnostics</w:t>
                            </w:r>
                          </w:p>
                          <w:p w14:paraId="4CA7582C"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 xml:space="preserve">de solliciter les équipes exploitation, la plateforme ADV, les services support, etc…, afin de bien identifier les besoins et de répondre à la demande technique. </w:t>
                            </w: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300.5pt;width:382.65pt;height:536.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5F0QIAANUFAAAOAAAAZHJzL2Uyb0RvYy54bWysVEtv2zAMvg/YfxB0d/2oEydGncJN4GFA&#10;0RZrhwK7KbLUGLMlTVISZ8P++yg5Trtulw67yDT1kSI/Pi4u+65FO6ZNI0WB47MIIyaorBvxVODP&#10;D1Uww8hYImrSSsEKfGAGXy7ev7vYq5wlciPbmmkEToTJ96rAG2tVHoaGblhHzJlUTMAll7ojFn71&#10;U1hrsgfvXRsmUTQN91LXSkvKjAHtarjEC++fc0btLeeGWdQWGGKz/tT+XLszXFyQ/EkTtWnoMQzy&#10;D1F0pBHw6MnViliCtrr5w1XXUC2N5PaMyi6UnDeU+Rwgmzh6lc39hijmcwFyjDrRZP6fW3qzu9Oo&#10;qQucYSRIByX6AoVCNUOW9ZahzFG0VyYH5L0CrO2vZA+lHvUGlC7znuvOfSEnBPdA9uFEMHhCFJTp&#10;bDKfTiYYUbibzuLsfOpLED6bK23sByY75IQCa6igJ5bsro2FUAA6QtxrQlZN2/oqtuI3BQAHDfNt&#10;MFiTHEIB0SFdUL5EP6qyTKar81Wwms2zIF2zJJhVURpclekkXmZZFa+yn0OrPBstJ1lSZpN5MC0n&#10;cZDG0SwoyygJVlUZlVFaLefplTeCQMZHQ0fkQJiX7KFlLpRWfGIcquB5cwrf/2zZarQj0LmEUias&#10;p9ynBWiH4pD6WwyPeJ+8J+UtxgON48tS2JNx1wipfZFehV1/HUPmAx7K9yJvJ9p+3fv2S8Z+Wsv6&#10;AG2m5TCrRtGqgVa4JsbeEQ3DCZ0FC8fewsFbuS+wPEoYbaT+/je9w8PMwC1Gexj2AptvW6IZRu1H&#10;AdPkNsMo6FFYj4LYdksJVYhhlSnqRTDQth1FrmX3CHuodK/AFREU3iqwHcWlHVYO7DHKytKDYP4V&#10;sdfiXlHn2hXFNfZD/0i0Ona/G8EbOa4Bkr8aggHrLIUst1byxk+I43Vg8cg37A4/OMc955bTy3+P&#10;et7Gi18AAAD//wMAUEsDBBQABgAIAAAAIQAPlont4QAAAA0BAAAPAAAAZHJzL2Rvd25yZXYueG1s&#10;TI/BTsMwDIbvSLxD5EncWFKKwuiaThOCExKiKweOaZu10RqnNNlW3h7vxG62/On39+eb2Q3sZKZg&#10;PSpIlgKYwca3FjsFX9Xb/QpYiBpbPXg0Cn5NgE1xe5PrrPVnLM1pFztGIRgyraCPccw4D01vnA5L&#10;Pxqk295PTkdap463kz5TuBv4gxCSO22RPvR6NC+9aQ67o1Ow/cby1f581J/lvrRV9SzwXR6UulvM&#10;2zWwaOb4D8NFn9ShIKfaH7ENbFCQylVKqAIpEip1IZI0lcBqmuTTowRe5Py6RfEHAAD//wMAUEsB&#10;Ai0AFAAGAAgAAAAhALaDOJL+AAAA4QEAABMAAAAAAAAAAAAAAAAAAAAAAFtDb250ZW50X1R5cGVz&#10;XS54bWxQSwECLQAUAAYACAAAACEAOP0h/9YAAACUAQAACwAAAAAAAAAAAAAAAAAvAQAAX3JlbHMv&#10;LnJlbHNQSwECLQAUAAYACAAAACEAOkVORdECAADVBQAADgAAAAAAAAAAAAAAAAAuAgAAZHJzL2Uy&#10;b0RvYy54bWxQSwECLQAUAAYACAAAACEAD5aJ7eEAAAANAQAADwAAAAAAAAAAAAAAAAArBQAAZHJz&#10;L2Rvd25yZXYueG1sUEsFBgAAAAAEAAQA8wAAADkGAAAAAA==&#10;" filled="f" stroked="f">
                <v:textbox inset="0,0,0,0">
                  <w:txbxContent>
                    <w:p w14:paraId="29C392E1" w14:textId="5E64B088" w:rsidR="00256741" w:rsidRPr="00D30E48" w:rsidRDefault="00C62E38" w:rsidP="00D30E48">
                      <w:pPr>
                        <w:autoSpaceDE w:val="0"/>
                        <w:autoSpaceDN w:val="0"/>
                        <w:adjustRightInd w:val="0"/>
                        <w:rPr>
                          <w:rFonts w:ascii="Titillium" w:hAnsi="Titillium" w:cs="Calibri"/>
                          <w:color w:val="000000"/>
                          <w:sz w:val="20"/>
                          <w:szCs w:val="20"/>
                        </w:rPr>
                      </w:pPr>
                      <w:r w:rsidRPr="00C62E38">
                        <w:rPr>
                          <w:rFonts w:ascii="Titillium" w:hAnsi="Titillium" w:cs="Calibri"/>
                          <w:color w:val="000000"/>
                          <w:sz w:val="20"/>
                          <w:szCs w:val="20"/>
                        </w:rPr>
                        <w:t>Présent sur les 5 continents, fort de ses 80 000 collaborateurs, SUEZ environnement est un groupe de services et de solutions industrielles spécialisé dans la valorisation et la sécurisation des ressources. SUEZ environnement Recyclage &amp; Valorisation des déchets propose des solutions de gestion et de valorisation matière, énergétique et biologique de tous types de déchets pour produire de nouvelles ressources. Les équipes de cette activité contribuent à la collecte, au tri, au démantèlement, au recyclage, à la valorisation et la commercialisation de nouvelles ressources et des services spécialisés sur sites et industriels.</w:t>
                      </w:r>
                    </w:p>
                    <w:p w14:paraId="57ACEEA6" w14:textId="77777777" w:rsidR="00256741" w:rsidRDefault="00256741" w:rsidP="00256741">
                      <w:pPr>
                        <w:rPr>
                          <w:rFonts w:ascii="Titillium" w:hAnsi="Titillium"/>
                          <w:b/>
                          <w:sz w:val="20"/>
                          <w:szCs w:val="20"/>
                        </w:rPr>
                      </w:pPr>
                    </w:p>
                    <w:p w14:paraId="50A21594" w14:textId="77777777" w:rsidR="00C62E38" w:rsidRDefault="00C62E38" w:rsidP="00256741">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061D423E" w14:textId="77777777" w:rsidR="00C62E38" w:rsidRPr="00C62E38" w:rsidRDefault="00C62E38" w:rsidP="00C62E38">
                      <w:pPr>
                        <w:rPr>
                          <w:rFonts w:ascii="Titillium" w:hAnsi="Titillium" w:cs="Calibri"/>
                          <w:b/>
                          <w:color w:val="000000"/>
                          <w:sz w:val="20"/>
                          <w:szCs w:val="20"/>
                        </w:rPr>
                      </w:pPr>
                      <w:r w:rsidRPr="00C62E38">
                        <w:rPr>
                          <w:rFonts w:ascii="Titillium" w:hAnsi="Titillium" w:cs="Calibri"/>
                          <w:color w:val="000000"/>
                          <w:sz w:val="20"/>
                          <w:szCs w:val="20"/>
                        </w:rPr>
                        <w:t>Dans le cadre de votre apprentissage, afin d’acquérir les compétences nécessaires pour vous préparer à la fonction de Ingénieur Méthodes / Bureau d’Etudes (H/F), vous participerez à</w:t>
                      </w:r>
                      <w:r w:rsidRPr="00C62E38">
                        <w:rPr>
                          <w:rFonts w:ascii="Courier New" w:hAnsi="Courier New" w:cs="Courier New"/>
                          <w:color w:val="000000"/>
                          <w:sz w:val="20"/>
                          <w:szCs w:val="20"/>
                        </w:rPr>
                        <w:t> </w:t>
                      </w:r>
                      <w:r w:rsidRPr="00C62E38">
                        <w:rPr>
                          <w:rFonts w:ascii="Titillium" w:hAnsi="Titillium" w:cs="Calibri"/>
                          <w:color w:val="000000"/>
                          <w:sz w:val="20"/>
                          <w:szCs w:val="20"/>
                        </w:rPr>
                        <w:t>l</w:t>
                      </w:r>
                      <w:r w:rsidRPr="00C62E38">
                        <w:rPr>
                          <w:rFonts w:ascii="Titillium" w:hAnsi="Titillium" w:cs="Titillium"/>
                          <w:color w:val="000000"/>
                          <w:sz w:val="20"/>
                          <w:szCs w:val="20"/>
                        </w:rPr>
                        <w:t>’</w:t>
                      </w:r>
                      <w:r w:rsidRPr="00C62E38">
                        <w:rPr>
                          <w:rFonts w:ascii="Titillium" w:hAnsi="Titillium" w:cs="Calibri"/>
                          <w:color w:val="000000"/>
                          <w:sz w:val="20"/>
                          <w:szCs w:val="20"/>
                        </w:rPr>
                        <w:t>analyse de donn</w:t>
                      </w:r>
                      <w:r w:rsidRPr="00C62E38">
                        <w:rPr>
                          <w:rFonts w:ascii="Titillium" w:hAnsi="Titillium" w:cs="Titillium"/>
                          <w:color w:val="000000"/>
                          <w:sz w:val="20"/>
                          <w:szCs w:val="20"/>
                        </w:rPr>
                        <w:t>é</w:t>
                      </w:r>
                      <w:r w:rsidRPr="00C62E38">
                        <w:rPr>
                          <w:rFonts w:ascii="Titillium" w:hAnsi="Titillium" w:cs="Calibri"/>
                          <w:color w:val="000000"/>
                          <w:sz w:val="20"/>
                          <w:szCs w:val="20"/>
                        </w:rPr>
                        <w:t>es internes dans le cadre de r</w:t>
                      </w:r>
                      <w:r w:rsidRPr="00C62E38">
                        <w:rPr>
                          <w:rFonts w:ascii="Titillium" w:hAnsi="Titillium" w:cs="Titillium"/>
                          <w:color w:val="000000"/>
                          <w:sz w:val="20"/>
                          <w:szCs w:val="20"/>
                        </w:rPr>
                        <w:t>é</w:t>
                      </w:r>
                      <w:r w:rsidRPr="00C62E38">
                        <w:rPr>
                          <w:rFonts w:ascii="Titillium" w:hAnsi="Titillium" w:cs="Calibri"/>
                          <w:color w:val="000000"/>
                          <w:sz w:val="20"/>
                          <w:szCs w:val="20"/>
                        </w:rPr>
                        <w:t xml:space="preserve">ponses </w:t>
                      </w:r>
                      <w:r w:rsidRPr="00C62E38">
                        <w:rPr>
                          <w:rFonts w:ascii="Titillium" w:hAnsi="Titillium" w:cs="Titillium"/>
                          <w:color w:val="000000"/>
                          <w:sz w:val="20"/>
                          <w:szCs w:val="20"/>
                        </w:rPr>
                        <w:t>à</w:t>
                      </w:r>
                      <w:r w:rsidRPr="00C62E38">
                        <w:rPr>
                          <w:rFonts w:ascii="Titillium" w:hAnsi="Titillium" w:cs="Calibri"/>
                          <w:color w:val="000000"/>
                          <w:sz w:val="20"/>
                          <w:szCs w:val="20"/>
                        </w:rPr>
                        <w:t xml:space="preserve"> appels d</w:t>
                      </w:r>
                      <w:r w:rsidRPr="00C62E38">
                        <w:rPr>
                          <w:rFonts w:ascii="Titillium" w:hAnsi="Titillium" w:cs="Titillium"/>
                          <w:color w:val="000000"/>
                          <w:sz w:val="20"/>
                          <w:szCs w:val="20"/>
                        </w:rPr>
                        <w:t>’</w:t>
                      </w:r>
                      <w:r w:rsidRPr="00C62E38">
                        <w:rPr>
                          <w:rFonts w:ascii="Titillium" w:hAnsi="Titillium" w:cs="Calibri"/>
                          <w:color w:val="000000"/>
                          <w:sz w:val="20"/>
                          <w:szCs w:val="20"/>
                        </w:rPr>
                        <w:t>offres clients industriels.</w:t>
                      </w:r>
                    </w:p>
                    <w:p w14:paraId="2B82F5F8" w14:textId="77777777" w:rsidR="00C62E38" w:rsidRPr="00C62E38" w:rsidRDefault="00C62E38" w:rsidP="00C62E38">
                      <w:pPr>
                        <w:rPr>
                          <w:rFonts w:ascii="Titillium" w:hAnsi="Titillium" w:cs="Calibri"/>
                          <w:color w:val="000000"/>
                          <w:sz w:val="20"/>
                          <w:szCs w:val="20"/>
                        </w:rPr>
                      </w:pPr>
                    </w:p>
                    <w:p w14:paraId="098B4C9A"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La compréhension des besoins du client,</w:t>
                      </w:r>
                    </w:p>
                    <w:p w14:paraId="40067016"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Le dimensionnement de la prestation,</w:t>
                      </w:r>
                    </w:p>
                    <w:p w14:paraId="5206C20D"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Le chiffrage de la prestation,</w:t>
                      </w:r>
                    </w:p>
                    <w:p w14:paraId="684F4031"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 xml:space="preserve">Le développement de solutions diverses (optimisation du schéma logistique, des matériels de tri et de collecte, des solutions de valorisation, </w:t>
                      </w:r>
                      <w:proofErr w:type="spellStart"/>
                      <w:r w:rsidRPr="00C62E38">
                        <w:rPr>
                          <w:rFonts w:ascii="Titillium" w:hAnsi="Titillium" w:cs="Calibri"/>
                          <w:color w:val="000000"/>
                          <w:sz w:val="20"/>
                          <w:szCs w:val="20"/>
                        </w:rPr>
                        <w:t>éxuoires</w:t>
                      </w:r>
                      <w:proofErr w:type="spellEnd"/>
                      <w:r w:rsidRPr="00C62E38">
                        <w:rPr>
                          <w:rFonts w:ascii="Titillium" w:hAnsi="Titillium" w:cs="Calibri"/>
                          <w:color w:val="000000"/>
                          <w:sz w:val="20"/>
                          <w:szCs w:val="20"/>
                        </w:rPr>
                        <w:t>/</w:t>
                      </w:r>
                      <w:proofErr w:type="spellStart"/>
                      <w:r w:rsidRPr="00C62E38">
                        <w:rPr>
                          <w:rFonts w:ascii="Titillium" w:hAnsi="Titillium" w:cs="Calibri"/>
                          <w:color w:val="000000"/>
                          <w:sz w:val="20"/>
                          <w:szCs w:val="20"/>
                        </w:rPr>
                        <w:t>filières</w:t>
                      </w:r>
                      <w:proofErr w:type="gramStart"/>
                      <w:r w:rsidRPr="00C62E38">
                        <w:rPr>
                          <w:rFonts w:ascii="Titillium" w:hAnsi="Titillium" w:cs="Calibri"/>
                          <w:color w:val="000000"/>
                          <w:sz w:val="20"/>
                          <w:szCs w:val="20"/>
                        </w:rPr>
                        <w:t>,etc</w:t>
                      </w:r>
                      <w:proofErr w:type="spellEnd"/>
                      <w:proofErr w:type="gramEnd"/>
                      <w:r w:rsidRPr="00C62E38">
                        <w:rPr>
                          <w:rFonts w:ascii="Titillium" w:hAnsi="Titillium" w:cs="Calibri"/>
                          <w:color w:val="000000"/>
                          <w:sz w:val="20"/>
                          <w:szCs w:val="20"/>
                        </w:rPr>
                        <w:t>…</w:t>
                      </w:r>
                    </w:p>
                    <w:p w14:paraId="435E7EFA"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Le calcul de la rentabilité,</w:t>
                      </w:r>
                    </w:p>
                    <w:p w14:paraId="1B3A1B3C"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L’aide à la rédaction des offres.</w:t>
                      </w:r>
                    </w:p>
                    <w:p w14:paraId="1F337B2E" w14:textId="77777777" w:rsidR="00C62E38" w:rsidRPr="00C62E38" w:rsidRDefault="00C62E38" w:rsidP="00C62E38">
                      <w:pPr>
                        <w:rPr>
                          <w:rFonts w:ascii="Titillium" w:hAnsi="Titillium" w:cs="Calibri"/>
                          <w:color w:val="000000"/>
                          <w:sz w:val="20"/>
                          <w:szCs w:val="20"/>
                        </w:rPr>
                      </w:pPr>
                    </w:p>
                    <w:p w14:paraId="150957E6" w14:textId="77777777" w:rsidR="00C62E38" w:rsidRPr="00C62E38" w:rsidRDefault="00C62E38" w:rsidP="00C62E38">
                      <w:pPr>
                        <w:rPr>
                          <w:rFonts w:ascii="Titillium" w:hAnsi="Titillium" w:cs="Calibri"/>
                          <w:color w:val="000000"/>
                          <w:sz w:val="20"/>
                          <w:szCs w:val="20"/>
                        </w:rPr>
                      </w:pPr>
                      <w:r w:rsidRPr="00C62E38">
                        <w:rPr>
                          <w:rFonts w:ascii="Titillium" w:hAnsi="Titillium" w:cs="Calibri"/>
                          <w:color w:val="000000"/>
                          <w:sz w:val="20"/>
                          <w:szCs w:val="20"/>
                        </w:rPr>
                        <w:t xml:space="preserve">Vous serez rattaché </w:t>
                      </w:r>
                      <w:r w:rsidRPr="00C62E38">
                        <w:rPr>
                          <w:rFonts w:ascii="Titillium" w:hAnsi="Titillium" w:cs="Calibri"/>
                          <w:b/>
                          <w:color w:val="000000"/>
                          <w:sz w:val="20"/>
                          <w:szCs w:val="20"/>
                        </w:rPr>
                        <w:t>au Service Commercial Entreprises</w:t>
                      </w:r>
                      <w:r w:rsidRPr="00C62E38">
                        <w:rPr>
                          <w:rFonts w:ascii="Titillium" w:hAnsi="Titillium" w:cs="Calibri"/>
                          <w:color w:val="000000"/>
                          <w:sz w:val="20"/>
                          <w:szCs w:val="20"/>
                        </w:rPr>
                        <w:t>, sous l’autorité du Chef des Ventes.</w:t>
                      </w:r>
                    </w:p>
                    <w:p w14:paraId="227DD146" w14:textId="77777777" w:rsidR="00C62E38" w:rsidRPr="00C62E38" w:rsidRDefault="00C62E38" w:rsidP="00C62E38">
                      <w:pPr>
                        <w:rPr>
                          <w:rFonts w:ascii="Titillium" w:hAnsi="Titillium" w:cs="Calibri"/>
                          <w:color w:val="000000"/>
                          <w:sz w:val="20"/>
                          <w:szCs w:val="20"/>
                        </w:rPr>
                      </w:pPr>
                    </w:p>
                    <w:p w14:paraId="4FD21F2E" w14:textId="77777777" w:rsidR="00C62E38" w:rsidRPr="00C62E38" w:rsidRDefault="00C62E38" w:rsidP="00C62E38">
                      <w:pPr>
                        <w:rPr>
                          <w:rFonts w:ascii="Titillium" w:hAnsi="Titillium" w:cs="Calibri"/>
                          <w:color w:val="000000"/>
                          <w:sz w:val="20"/>
                          <w:szCs w:val="20"/>
                        </w:rPr>
                      </w:pPr>
                      <w:r w:rsidRPr="00C62E38">
                        <w:rPr>
                          <w:rFonts w:ascii="Titillium" w:hAnsi="Titillium" w:cs="Calibri"/>
                          <w:color w:val="000000"/>
                          <w:sz w:val="20"/>
                          <w:szCs w:val="20"/>
                        </w:rPr>
                        <w:t>Vos responsabilités sont en autres :</w:t>
                      </w:r>
                    </w:p>
                    <w:p w14:paraId="4B02FCC1"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 xml:space="preserve">d’accompagner les </w:t>
                      </w:r>
                      <w:proofErr w:type="spellStart"/>
                      <w:r w:rsidRPr="00C62E38">
                        <w:rPr>
                          <w:rFonts w:ascii="Titillium" w:hAnsi="Titillium" w:cs="Calibri"/>
                          <w:color w:val="000000"/>
                          <w:sz w:val="20"/>
                          <w:szCs w:val="20"/>
                        </w:rPr>
                        <w:t>Technicos</w:t>
                      </w:r>
                      <w:proofErr w:type="spellEnd"/>
                      <w:r w:rsidRPr="00C62E38">
                        <w:rPr>
                          <w:rFonts w:ascii="Titillium" w:hAnsi="Titillium" w:cs="Calibri"/>
                          <w:color w:val="000000"/>
                          <w:sz w:val="20"/>
                          <w:szCs w:val="20"/>
                        </w:rPr>
                        <w:t xml:space="preserve"> Commerciaux chez les clients, sur les chantiers ou sur sites afin d'identifier et d'effectuer les relevés nécessaires et les diagnostics</w:t>
                      </w:r>
                    </w:p>
                    <w:p w14:paraId="4CA7582C" w14:textId="77777777" w:rsidR="00C62E38" w:rsidRPr="00C62E38" w:rsidRDefault="00C62E38" w:rsidP="00C62E38">
                      <w:pPr>
                        <w:numPr>
                          <w:ilvl w:val="0"/>
                          <w:numId w:val="14"/>
                        </w:numPr>
                        <w:rPr>
                          <w:rFonts w:ascii="Titillium" w:hAnsi="Titillium" w:cs="Calibri"/>
                          <w:color w:val="000000"/>
                          <w:sz w:val="20"/>
                          <w:szCs w:val="20"/>
                        </w:rPr>
                      </w:pPr>
                      <w:r w:rsidRPr="00C62E38">
                        <w:rPr>
                          <w:rFonts w:ascii="Titillium" w:hAnsi="Titillium" w:cs="Calibri"/>
                          <w:color w:val="000000"/>
                          <w:sz w:val="20"/>
                          <w:szCs w:val="20"/>
                        </w:rPr>
                        <w:t xml:space="preserve">de solliciter les équipes exploitation, la plateforme ADV, les services support, etc…, afin de bien identifier les besoins et de répondre à la demande technique. </w:t>
                      </w: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Default="00025BE8" w:rsidP="00025BE8"/>
    <w:p w14:paraId="78BD08F7" w14:textId="77777777" w:rsidR="00C62E38" w:rsidRPr="00025BE8" w:rsidRDefault="00C62E3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44AEB103" w:rsidR="00025BE8" w:rsidRDefault="00C62E38" w:rsidP="00025BE8">
      <w:pPr>
        <w:tabs>
          <w:tab w:val="left" w:pos="4299"/>
        </w:tabs>
      </w:pPr>
      <w:bookmarkStart w:id="0" w:name="_GoBack"/>
      <w:bookmarkEnd w:id="0"/>
      <w:r>
        <w:rPr>
          <w:noProof/>
        </w:rPr>
        <w:lastRenderedPageBreak/>
        <mc:AlternateContent>
          <mc:Choice Requires="wps">
            <w:drawing>
              <wp:anchor distT="0" distB="0" distL="114300" distR="114300" simplePos="0" relativeHeight="251670528" behindDoc="0" locked="0" layoutInCell="1" allowOverlap="1" wp14:anchorId="7CC99AD3" wp14:editId="4EB0A836">
                <wp:simplePos x="0" y="0"/>
                <wp:positionH relativeFrom="page">
                  <wp:posOffset>2491105</wp:posOffset>
                </wp:positionH>
                <wp:positionV relativeFrom="page">
                  <wp:posOffset>1000263</wp:posOffset>
                </wp:positionV>
                <wp:extent cx="4859655" cy="6817360"/>
                <wp:effectExtent l="0" t="0" r="17145" b="2540"/>
                <wp:wrapNone/>
                <wp:docPr id="6" name="Zone de texte 6"/>
                <wp:cNvGraphicFramePr/>
                <a:graphic xmlns:a="http://schemas.openxmlformats.org/drawingml/2006/main">
                  <a:graphicData uri="http://schemas.microsoft.com/office/word/2010/wordprocessingShape">
                    <wps:wsp>
                      <wps:cNvSpPr txBox="1"/>
                      <wps:spPr>
                        <a:xfrm>
                          <a:off x="0" y="0"/>
                          <a:ext cx="4859655" cy="681736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F6AACE" w14:textId="77777777" w:rsidR="00C62E38" w:rsidRPr="00494793" w:rsidRDefault="00C62E38" w:rsidP="00C62E38">
                            <w:pPr>
                              <w:rPr>
                                <w:rFonts w:ascii="Titillium" w:hAnsi="Titillium"/>
                                <w:b/>
                                <w:color w:val="FFC000"/>
                                <w:sz w:val="20"/>
                                <w:szCs w:val="20"/>
                              </w:rPr>
                            </w:pPr>
                            <w:r w:rsidRPr="00494793">
                              <w:rPr>
                                <w:rFonts w:ascii="Titillium" w:hAnsi="Titillium"/>
                                <w:b/>
                                <w:color w:val="FFC000"/>
                                <w:sz w:val="20"/>
                                <w:szCs w:val="20"/>
                              </w:rPr>
                              <w:t>Profil</w:t>
                            </w:r>
                          </w:p>
                          <w:p w14:paraId="590398DF" w14:textId="77777777" w:rsidR="00C62E38" w:rsidRPr="00256741" w:rsidRDefault="00C62E38" w:rsidP="00C62E38">
                            <w:pPr>
                              <w:autoSpaceDE w:val="0"/>
                              <w:autoSpaceDN w:val="0"/>
                              <w:adjustRightInd w:val="0"/>
                              <w:rPr>
                                <w:rFonts w:ascii="Titillium" w:hAnsi="Titillium" w:cs="Calibri"/>
                                <w:color w:val="000000"/>
                                <w:sz w:val="20"/>
                                <w:szCs w:val="20"/>
                              </w:rPr>
                            </w:pPr>
                          </w:p>
                          <w:p w14:paraId="17271B27" w14:textId="10D4B222" w:rsidR="00C62E38" w:rsidRDefault="00C62E38" w:rsidP="00C62E38">
                            <w:pPr>
                              <w:pStyle w:val="Paragraphedeliste"/>
                              <w:numPr>
                                <w:ilvl w:val="0"/>
                                <w:numId w:val="15"/>
                              </w:numPr>
                              <w:rPr>
                                <w:rFonts w:ascii="Titillium" w:hAnsi="Titillium" w:cs="Calibri"/>
                                <w:color w:val="000000"/>
                                <w:sz w:val="20"/>
                                <w:szCs w:val="20"/>
                              </w:rPr>
                            </w:pPr>
                            <w:r>
                              <w:rPr>
                                <w:rFonts w:ascii="Titillium" w:hAnsi="Titillium" w:cs="Calibri"/>
                                <w:color w:val="000000"/>
                                <w:sz w:val="20"/>
                                <w:szCs w:val="20"/>
                              </w:rPr>
                              <w:t>Autonome</w:t>
                            </w:r>
                          </w:p>
                          <w:p w14:paraId="243734C6" w14:textId="77777777" w:rsidR="00C62E38" w:rsidRDefault="00C62E38" w:rsidP="00C62E38">
                            <w:pPr>
                              <w:pStyle w:val="Paragraphedeliste"/>
                              <w:numPr>
                                <w:ilvl w:val="0"/>
                                <w:numId w:val="15"/>
                              </w:numPr>
                              <w:rPr>
                                <w:rFonts w:ascii="Titillium" w:hAnsi="Titillium" w:cs="Calibri"/>
                                <w:color w:val="000000"/>
                                <w:sz w:val="20"/>
                                <w:szCs w:val="20"/>
                              </w:rPr>
                            </w:pPr>
                            <w:r>
                              <w:rPr>
                                <w:rFonts w:ascii="Titillium" w:hAnsi="Titillium" w:cs="Calibri"/>
                                <w:color w:val="000000"/>
                                <w:sz w:val="20"/>
                                <w:szCs w:val="20"/>
                              </w:rPr>
                              <w:t xml:space="preserve">A </w:t>
                            </w:r>
                            <w:r w:rsidRPr="00C62E38">
                              <w:rPr>
                                <w:rFonts w:ascii="Titillium" w:hAnsi="Titillium" w:cs="Calibri"/>
                                <w:color w:val="000000"/>
                                <w:sz w:val="20"/>
                                <w:szCs w:val="20"/>
                              </w:rPr>
                              <w:t>l’aise avec l’ensemble des outils informatiques et avez une appétence pour Excel.</w:t>
                            </w:r>
                          </w:p>
                          <w:p w14:paraId="7643F930" w14:textId="74F042CE" w:rsidR="00C62E38" w:rsidRDefault="00C62E38" w:rsidP="00C62E38">
                            <w:pPr>
                              <w:pStyle w:val="Paragraphedeliste"/>
                              <w:numPr>
                                <w:ilvl w:val="0"/>
                                <w:numId w:val="15"/>
                              </w:numPr>
                              <w:rPr>
                                <w:rFonts w:ascii="Titillium" w:hAnsi="Titillium" w:cs="Calibri"/>
                                <w:color w:val="000000"/>
                                <w:sz w:val="20"/>
                                <w:szCs w:val="20"/>
                              </w:rPr>
                            </w:pPr>
                            <w:r w:rsidRPr="00C62E38">
                              <w:rPr>
                                <w:rFonts w:ascii="Titillium" w:hAnsi="Titillium" w:cs="Calibri"/>
                                <w:color w:val="000000"/>
                                <w:sz w:val="20"/>
                                <w:szCs w:val="20"/>
                              </w:rPr>
                              <w:t>Une première expérience dans le domaine du recyclage et de la valorisation serait un plus.</w:t>
                            </w:r>
                          </w:p>
                          <w:p w14:paraId="403FBF7D" w14:textId="77777777" w:rsidR="00C62E38" w:rsidRPr="00C62E38" w:rsidRDefault="00C62E38" w:rsidP="00C62E38">
                            <w:pPr>
                              <w:pStyle w:val="Paragraphedeliste"/>
                              <w:rPr>
                                <w:rFonts w:ascii="Titillium" w:hAnsi="Titillium" w:cs="Calibri"/>
                                <w:color w:val="000000"/>
                                <w:sz w:val="20"/>
                                <w:szCs w:val="20"/>
                              </w:rPr>
                            </w:pPr>
                          </w:p>
                          <w:p w14:paraId="28BB94CF" w14:textId="77777777" w:rsidR="00C62E38" w:rsidRPr="00C62E38" w:rsidRDefault="00C62E38" w:rsidP="00C62E38">
                            <w:pPr>
                              <w:rPr>
                                <w:rFonts w:ascii="Titillium" w:hAnsi="Titillium" w:cs="Calibri"/>
                                <w:color w:val="000000"/>
                                <w:sz w:val="20"/>
                                <w:szCs w:val="20"/>
                              </w:rPr>
                            </w:pPr>
                            <w:r w:rsidRPr="00C62E38">
                              <w:rPr>
                                <w:rFonts w:ascii="Titillium" w:hAnsi="Titillium" w:cs="Calibri"/>
                                <w:color w:val="000000"/>
                                <w:sz w:val="20"/>
                                <w:szCs w:val="20"/>
                              </w:rPr>
                              <w:t>Vous souhaitez développer vos compétences dans le milieu professionnel</w:t>
                            </w:r>
                            <w:r w:rsidRPr="00C62E38">
                              <w:rPr>
                                <w:rFonts w:ascii="Courier New" w:hAnsi="Courier New" w:cs="Courier New"/>
                                <w:color w:val="000000"/>
                                <w:sz w:val="20"/>
                                <w:szCs w:val="20"/>
                              </w:rPr>
                              <w:t> </w:t>
                            </w:r>
                            <w:r w:rsidRPr="00C62E38">
                              <w:rPr>
                                <w:rFonts w:ascii="Titillium" w:hAnsi="Titillium" w:cs="Calibri"/>
                                <w:color w:val="000000"/>
                                <w:sz w:val="20"/>
                                <w:szCs w:val="20"/>
                              </w:rPr>
                              <w:t>? Rejoignez-nous et construisons ensemble les comp</w:t>
                            </w:r>
                            <w:r w:rsidRPr="00C62E38">
                              <w:rPr>
                                <w:rFonts w:ascii="Titillium" w:hAnsi="Titillium" w:cs="Titillium"/>
                                <w:color w:val="000000"/>
                                <w:sz w:val="20"/>
                                <w:szCs w:val="20"/>
                              </w:rPr>
                              <w:t>é</w:t>
                            </w:r>
                            <w:r w:rsidRPr="00C62E38">
                              <w:rPr>
                                <w:rFonts w:ascii="Titillium" w:hAnsi="Titillium" w:cs="Calibri"/>
                                <w:color w:val="000000"/>
                                <w:sz w:val="20"/>
                                <w:szCs w:val="20"/>
                              </w:rPr>
                              <w:t>tences de demain</w:t>
                            </w:r>
                            <w:r w:rsidRPr="00C62E38">
                              <w:rPr>
                                <w:rFonts w:ascii="Courier New" w:hAnsi="Courier New" w:cs="Courier New"/>
                                <w:color w:val="000000"/>
                                <w:sz w:val="20"/>
                                <w:szCs w:val="20"/>
                              </w:rPr>
                              <w:t> </w:t>
                            </w:r>
                            <w:r w:rsidRPr="00C62E38">
                              <w:rPr>
                                <w:rFonts w:ascii="Titillium" w:hAnsi="Titillium" w:cs="Calibri"/>
                                <w:color w:val="000000"/>
                                <w:sz w:val="20"/>
                                <w:szCs w:val="20"/>
                              </w:rPr>
                              <w:t>!</w:t>
                            </w:r>
                          </w:p>
                          <w:p w14:paraId="14C0041D" w14:textId="77777777" w:rsidR="00C62E38" w:rsidRPr="00D30E48" w:rsidRDefault="00C62E38" w:rsidP="00C62E38">
                            <w:pPr>
                              <w:rPr>
                                <w:rFonts w:ascii="Titillium" w:hAnsi="Titillium" w:cs="Calibri"/>
                                <w:color w:val="000000"/>
                                <w:sz w:val="20"/>
                                <w:szCs w:val="20"/>
                              </w:rPr>
                            </w:pPr>
                          </w:p>
                          <w:p w14:paraId="256A90A6" w14:textId="77777777" w:rsidR="00C62E38" w:rsidRPr="00D652F8" w:rsidRDefault="00C62E38" w:rsidP="00C62E3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C62E38" w:rsidRPr="00D652F8" w14:paraId="094219F6" w14:textId="77777777">
                              <w:trPr>
                                <w:trHeight w:val="465"/>
                              </w:trPr>
                              <w:tc>
                                <w:tcPr>
                                  <w:tcW w:w="6888" w:type="dxa"/>
                                </w:tcPr>
                                <w:p w14:paraId="043BE80E" w14:textId="77777777" w:rsidR="00C62E38" w:rsidRPr="009051CD" w:rsidRDefault="00C62E38" w:rsidP="009051CD">
                                  <w:pPr>
                                    <w:rPr>
                                      <w:rFonts w:ascii="Titillium" w:hAnsi="Titillium"/>
                                      <w:sz w:val="20"/>
                                      <w:szCs w:val="20"/>
                                    </w:rPr>
                                  </w:pPr>
                                </w:p>
                              </w:tc>
                            </w:tr>
                          </w:tbl>
                          <w:p w14:paraId="47EAA0AC" w14:textId="77777777" w:rsidR="00C62E38" w:rsidRPr="001C5D36" w:rsidRDefault="00C62E38" w:rsidP="00C62E38">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196.15pt;margin-top:78.75pt;width:382.65pt;height:536.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jogwIAANIEAAAOAAAAZHJzL2Uyb0RvYy54bWysVE1v2zAMvQ/YfxB0d22n/kiMOoUaw8OA&#10;Yi3QDgV2U2S5MWBLmqTU7ob991Fy3G7dTsMuCk1SFPn4Xi4up6FHT1ybTooSx2cRRlww2XTiscSf&#10;7+tgjZGxVDS0l4KX+JkbfLl9/+5iVAVfyYPsG64RFBGmGFWJD9aqIgwNO/CBmjOpuIBgK/VALXzq&#10;x7DRdITqQx+uoigLR6kbpSXjxoC3moN46+u3LWf2pm0Nt6gvMfRm/an9uXdnuL2gxaOm6tCxUxv0&#10;H7oYaCfg0ZdSFbUUHXX3R6mhY1oa2dozJodQtm3HuJ8BpomjN9PcHajifhYAx6gXmMz/K8s+Pd1q&#10;1DUlzjASdIAVfYFFoYYjyyfLUeYgGpUpIPNOQa6druQEq178Bpxu8qnVg/uFmRDEAeznF4ChEmLg&#10;TNbpJktTjBjEsnWcn2d+BeHrdaWN/cDlgJxRYg0b9MDSp2tjoRVIXVLca0LWXd/7LfbiNwckzh7u&#10;aTDfpgW0AqbLdE35FX2vCVll1XkVVOtNHiR7vgrWdZQEVyRJ412e13GV/5ip8nppl+YrkqebICNp&#10;HCRxtA4IiVZBVZOIREm92yRX/hI0sjwaOiBnwJxlp/3ksT9fwNzL5hkw1nImqlGs7gCHa2rsLdXA&#10;TIAV1GZv4Gh7OZZYniyMDlJ/+5vf5QNhIIrRCEwvsfl6pJpj1H8UQCUni8XQi7FfDHEcdhLEE4OO&#10;FfMmXNC2X8xWy+EBREjcKxCigsFbJbaLubOz3kDEjBPik4D8itprcaeYK+3W4bZ6Pz1QrU6rd/z7&#10;JBcN0OINA+bceeXkaGXbeXo4XGcUgSvuA4TjWXMSuVPmr98+6/WvaPsTAAD//wMAUEsDBBQABgAI&#10;AAAAIQD3BAt04QAAAA0BAAAPAAAAZHJzL2Rvd25yZXYueG1sTI/NTsMwEITvSLyDtZW4UedHDTSN&#10;U1UITkiINBw4OrGbWI3XIXbb8PZsT/Q2q/k0O1NsZzuws568cSggXkbANLZOGewEfNVvj8/AfJCo&#10;5OBQC/jVHrbl/V0hc+UuWOnzPnSMQtDnUkAfwphz7tteW+mXbtRI3sFNVgY6p46rSV4o3A48iaKM&#10;W2mQPvRy1C+9bo/7kxWw+8bq1fx8NJ/VoTJ1vY7wPTsK8bCYdxtgQc/hH4ZrfaoOJXVq3AmVZ4OA&#10;dJ2khJKxeloBuxKkMmANqSSNY+BlwW9XlH8AAAD//wMAUEsBAi0AFAAGAAgAAAAhALaDOJL+AAAA&#10;4QEAABMAAAAAAAAAAAAAAAAAAAAAAFtDb250ZW50X1R5cGVzXS54bWxQSwECLQAUAAYACAAAACEA&#10;OP0h/9YAAACUAQAACwAAAAAAAAAAAAAAAAAvAQAAX3JlbHMvLnJlbHNQSwECLQAUAAYACAAAACEA&#10;WGS46IMCAADSBAAADgAAAAAAAAAAAAAAAAAuAgAAZHJzL2Uyb0RvYy54bWxQSwECLQAUAAYACAAA&#10;ACEA9wQLdOEAAAANAQAADwAAAAAAAAAAAAAAAADdBAAAZHJzL2Rvd25yZXYueG1sUEsFBgAAAAAE&#10;AAQA8wAAAOsFAAAAAA==&#10;" filled="f" stroked="f">
                <v:textbox inset="0,0,0,0">
                  <w:txbxContent>
                    <w:p w14:paraId="73F6AACE" w14:textId="77777777" w:rsidR="00C62E38" w:rsidRPr="00494793" w:rsidRDefault="00C62E38" w:rsidP="00C62E38">
                      <w:pPr>
                        <w:rPr>
                          <w:rFonts w:ascii="Titillium" w:hAnsi="Titillium"/>
                          <w:b/>
                          <w:color w:val="FFC000"/>
                          <w:sz w:val="20"/>
                          <w:szCs w:val="20"/>
                        </w:rPr>
                      </w:pPr>
                      <w:r w:rsidRPr="00494793">
                        <w:rPr>
                          <w:rFonts w:ascii="Titillium" w:hAnsi="Titillium"/>
                          <w:b/>
                          <w:color w:val="FFC000"/>
                          <w:sz w:val="20"/>
                          <w:szCs w:val="20"/>
                        </w:rPr>
                        <w:t>Profil</w:t>
                      </w:r>
                    </w:p>
                    <w:p w14:paraId="590398DF" w14:textId="77777777" w:rsidR="00C62E38" w:rsidRPr="00256741" w:rsidRDefault="00C62E38" w:rsidP="00C62E38">
                      <w:pPr>
                        <w:autoSpaceDE w:val="0"/>
                        <w:autoSpaceDN w:val="0"/>
                        <w:adjustRightInd w:val="0"/>
                        <w:rPr>
                          <w:rFonts w:ascii="Titillium" w:hAnsi="Titillium" w:cs="Calibri"/>
                          <w:color w:val="000000"/>
                          <w:sz w:val="20"/>
                          <w:szCs w:val="20"/>
                        </w:rPr>
                      </w:pPr>
                    </w:p>
                    <w:p w14:paraId="17271B27" w14:textId="10D4B222" w:rsidR="00C62E38" w:rsidRDefault="00C62E38" w:rsidP="00C62E38">
                      <w:pPr>
                        <w:pStyle w:val="Paragraphedeliste"/>
                        <w:numPr>
                          <w:ilvl w:val="0"/>
                          <w:numId w:val="15"/>
                        </w:numPr>
                        <w:rPr>
                          <w:rFonts w:ascii="Titillium" w:hAnsi="Titillium" w:cs="Calibri"/>
                          <w:color w:val="000000"/>
                          <w:sz w:val="20"/>
                          <w:szCs w:val="20"/>
                        </w:rPr>
                      </w:pPr>
                      <w:r>
                        <w:rPr>
                          <w:rFonts w:ascii="Titillium" w:hAnsi="Titillium" w:cs="Calibri"/>
                          <w:color w:val="000000"/>
                          <w:sz w:val="20"/>
                          <w:szCs w:val="20"/>
                        </w:rPr>
                        <w:t>Autonome</w:t>
                      </w:r>
                    </w:p>
                    <w:p w14:paraId="243734C6" w14:textId="77777777" w:rsidR="00C62E38" w:rsidRDefault="00C62E38" w:rsidP="00C62E38">
                      <w:pPr>
                        <w:pStyle w:val="Paragraphedeliste"/>
                        <w:numPr>
                          <w:ilvl w:val="0"/>
                          <w:numId w:val="15"/>
                        </w:numPr>
                        <w:rPr>
                          <w:rFonts w:ascii="Titillium" w:hAnsi="Titillium" w:cs="Calibri"/>
                          <w:color w:val="000000"/>
                          <w:sz w:val="20"/>
                          <w:szCs w:val="20"/>
                        </w:rPr>
                      </w:pPr>
                      <w:r>
                        <w:rPr>
                          <w:rFonts w:ascii="Titillium" w:hAnsi="Titillium" w:cs="Calibri"/>
                          <w:color w:val="000000"/>
                          <w:sz w:val="20"/>
                          <w:szCs w:val="20"/>
                        </w:rPr>
                        <w:t xml:space="preserve">A </w:t>
                      </w:r>
                      <w:r w:rsidRPr="00C62E38">
                        <w:rPr>
                          <w:rFonts w:ascii="Titillium" w:hAnsi="Titillium" w:cs="Calibri"/>
                          <w:color w:val="000000"/>
                          <w:sz w:val="20"/>
                          <w:szCs w:val="20"/>
                        </w:rPr>
                        <w:t>l’aise avec l’ensemble des outils informatiques et avez une appétence pour Excel.</w:t>
                      </w:r>
                    </w:p>
                    <w:p w14:paraId="7643F930" w14:textId="74F042CE" w:rsidR="00C62E38" w:rsidRDefault="00C62E38" w:rsidP="00C62E38">
                      <w:pPr>
                        <w:pStyle w:val="Paragraphedeliste"/>
                        <w:numPr>
                          <w:ilvl w:val="0"/>
                          <w:numId w:val="15"/>
                        </w:numPr>
                        <w:rPr>
                          <w:rFonts w:ascii="Titillium" w:hAnsi="Titillium" w:cs="Calibri"/>
                          <w:color w:val="000000"/>
                          <w:sz w:val="20"/>
                          <w:szCs w:val="20"/>
                        </w:rPr>
                      </w:pPr>
                      <w:r w:rsidRPr="00C62E38">
                        <w:rPr>
                          <w:rFonts w:ascii="Titillium" w:hAnsi="Titillium" w:cs="Calibri"/>
                          <w:color w:val="000000"/>
                          <w:sz w:val="20"/>
                          <w:szCs w:val="20"/>
                        </w:rPr>
                        <w:t>Une première expérience dans le domaine du recyclage et de la valorisation serait un plus.</w:t>
                      </w:r>
                    </w:p>
                    <w:p w14:paraId="403FBF7D" w14:textId="77777777" w:rsidR="00C62E38" w:rsidRPr="00C62E38" w:rsidRDefault="00C62E38" w:rsidP="00C62E38">
                      <w:pPr>
                        <w:pStyle w:val="Paragraphedeliste"/>
                        <w:rPr>
                          <w:rFonts w:ascii="Titillium" w:hAnsi="Titillium" w:cs="Calibri"/>
                          <w:color w:val="000000"/>
                          <w:sz w:val="20"/>
                          <w:szCs w:val="20"/>
                        </w:rPr>
                      </w:pPr>
                    </w:p>
                    <w:p w14:paraId="28BB94CF" w14:textId="77777777" w:rsidR="00C62E38" w:rsidRPr="00C62E38" w:rsidRDefault="00C62E38" w:rsidP="00C62E38">
                      <w:pPr>
                        <w:rPr>
                          <w:rFonts w:ascii="Titillium" w:hAnsi="Titillium" w:cs="Calibri"/>
                          <w:color w:val="000000"/>
                          <w:sz w:val="20"/>
                          <w:szCs w:val="20"/>
                        </w:rPr>
                      </w:pPr>
                      <w:r w:rsidRPr="00C62E38">
                        <w:rPr>
                          <w:rFonts w:ascii="Titillium" w:hAnsi="Titillium" w:cs="Calibri"/>
                          <w:color w:val="000000"/>
                          <w:sz w:val="20"/>
                          <w:szCs w:val="20"/>
                        </w:rPr>
                        <w:t>Vous souhaitez développer vos compétences dans le milieu professionnel</w:t>
                      </w:r>
                      <w:r w:rsidRPr="00C62E38">
                        <w:rPr>
                          <w:rFonts w:ascii="Courier New" w:hAnsi="Courier New" w:cs="Courier New"/>
                          <w:color w:val="000000"/>
                          <w:sz w:val="20"/>
                          <w:szCs w:val="20"/>
                        </w:rPr>
                        <w:t> </w:t>
                      </w:r>
                      <w:r w:rsidRPr="00C62E38">
                        <w:rPr>
                          <w:rFonts w:ascii="Titillium" w:hAnsi="Titillium" w:cs="Calibri"/>
                          <w:color w:val="000000"/>
                          <w:sz w:val="20"/>
                          <w:szCs w:val="20"/>
                        </w:rPr>
                        <w:t>? Rejoignez-nous et construisons ensemble les comp</w:t>
                      </w:r>
                      <w:r w:rsidRPr="00C62E38">
                        <w:rPr>
                          <w:rFonts w:ascii="Titillium" w:hAnsi="Titillium" w:cs="Titillium"/>
                          <w:color w:val="000000"/>
                          <w:sz w:val="20"/>
                          <w:szCs w:val="20"/>
                        </w:rPr>
                        <w:t>é</w:t>
                      </w:r>
                      <w:r w:rsidRPr="00C62E38">
                        <w:rPr>
                          <w:rFonts w:ascii="Titillium" w:hAnsi="Titillium" w:cs="Calibri"/>
                          <w:color w:val="000000"/>
                          <w:sz w:val="20"/>
                          <w:szCs w:val="20"/>
                        </w:rPr>
                        <w:t>tences de demain</w:t>
                      </w:r>
                      <w:r w:rsidRPr="00C62E38">
                        <w:rPr>
                          <w:rFonts w:ascii="Courier New" w:hAnsi="Courier New" w:cs="Courier New"/>
                          <w:color w:val="000000"/>
                          <w:sz w:val="20"/>
                          <w:szCs w:val="20"/>
                        </w:rPr>
                        <w:t> </w:t>
                      </w:r>
                      <w:r w:rsidRPr="00C62E38">
                        <w:rPr>
                          <w:rFonts w:ascii="Titillium" w:hAnsi="Titillium" w:cs="Calibri"/>
                          <w:color w:val="000000"/>
                          <w:sz w:val="20"/>
                          <w:szCs w:val="20"/>
                        </w:rPr>
                        <w:t>!</w:t>
                      </w:r>
                    </w:p>
                    <w:p w14:paraId="14C0041D" w14:textId="77777777" w:rsidR="00C62E38" w:rsidRPr="00D30E48" w:rsidRDefault="00C62E38" w:rsidP="00C62E38">
                      <w:pPr>
                        <w:rPr>
                          <w:rFonts w:ascii="Titillium" w:hAnsi="Titillium" w:cs="Calibri"/>
                          <w:color w:val="000000"/>
                          <w:sz w:val="20"/>
                          <w:szCs w:val="20"/>
                        </w:rPr>
                      </w:pPr>
                    </w:p>
                    <w:p w14:paraId="256A90A6" w14:textId="77777777" w:rsidR="00C62E38" w:rsidRPr="00D652F8" w:rsidRDefault="00C62E38" w:rsidP="00C62E3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C62E38" w:rsidRPr="00D652F8" w14:paraId="094219F6" w14:textId="77777777">
                        <w:trPr>
                          <w:trHeight w:val="465"/>
                        </w:trPr>
                        <w:tc>
                          <w:tcPr>
                            <w:tcW w:w="6888" w:type="dxa"/>
                          </w:tcPr>
                          <w:p w14:paraId="043BE80E" w14:textId="77777777" w:rsidR="00C62E38" w:rsidRPr="009051CD" w:rsidRDefault="00C62E38" w:rsidP="009051CD">
                            <w:pPr>
                              <w:rPr>
                                <w:rFonts w:ascii="Titillium" w:hAnsi="Titillium"/>
                                <w:sz w:val="20"/>
                                <w:szCs w:val="20"/>
                              </w:rPr>
                            </w:pPr>
                          </w:p>
                        </w:tc>
                      </w:tr>
                    </w:tbl>
                    <w:p w14:paraId="47EAA0AC" w14:textId="77777777" w:rsidR="00C62E38" w:rsidRPr="001C5D36" w:rsidRDefault="00C62E38" w:rsidP="00C62E38">
                      <w:pPr>
                        <w:rPr>
                          <w:rFonts w:ascii="Arial" w:hAnsi="Arial"/>
                          <w:b/>
                          <w:sz w:val="20"/>
                          <w:szCs w:val="20"/>
                        </w:rPr>
                      </w:pPr>
                    </w:p>
                  </w:txbxContent>
                </v:textbox>
                <w10:wrap anchorx="page" anchory="page"/>
              </v:shape>
            </w:pict>
          </mc:Fallback>
        </mc:AlternateContent>
      </w: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DB619A"/>
    <w:multiLevelType w:val="hybridMultilevel"/>
    <w:tmpl w:val="1808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846FB7"/>
    <w:multiLevelType w:val="hybridMultilevel"/>
    <w:tmpl w:val="18CE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D6007C"/>
    <w:multiLevelType w:val="hybridMultilevel"/>
    <w:tmpl w:val="77B4C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305784"/>
    <w:multiLevelType w:val="hybridMultilevel"/>
    <w:tmpl w:val="275C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815489"/>
    <w:multiLevelType w:val="multilevel"/>
    <w:tmpl w:val="AD34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13"/>
  </w:num>
  <w:num w:numId="5">
    <w:abstractNumId w:val="6"/>
  </w:num>
  <w:num w:numId="6">
    <w:abstractNumId w:val="8"/>
  </w:num>
  <w:num w:numId="7">
    <w:abstractNumId w:val="14"/>
  </w:num>
  <w:num w:numId="8">
    <w:abstractNumId w:val="10"/>
  </w:num>
  <w:num w:numId="9">
    <w:abstractNumId w:val="1"/>
  </w:num>
  <w:num w:numId="10">
    <w:abstractNumId w:val="7"/>
  </w:num>
  <w:num w:numId="11">
    <w:abstractNumId w:val="3"/>
  </w:num>
  <w:num w:numId="12">
    <w:abstractNumId w:val="2"/>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8698E"/>
    <w:rsid w:val="000A6948"/>
    <w:rsid w:val="001032F2"/>
    <w:rsid w:val="00105E2C"/>
    <w:rsid w:val="001B06B9"/>
    <w:rsid w:val="001C5D36"/>
    <w:rsid w:val="001E5F4F"/>
    <w:rsid w:val="00256741"/>
    <w:rsid w:val="00267C89"/>
    <w:rsid w:val="003110EB"/>
    <w:rsid w:val="00320884"/>
    <w:rsid w:val="003A3E46"/>
    <w:rsid w:val="004127D9"/>
    <w:rsid w:val="00494793"/>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62E38"/>
    <w:rsid w:val="00CB1A33"/>
    <w:rsid w:val="00CF0EE6"/>
    <w:rsid w:val="00D30E48"/>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6997">
      <w:bodyDiv w:val="1"/>
      <w:marLeft w:val="0"/>
      <w:marRight w:val="0"/>
      <w:marTop w:val="0"/>
      <w:marBottom w:val="0"/>
      <w:divBdr>
        <w:top w:val="none" w:sz="0" w:space="0" w:color="auto"/>
        <w:left w:val="none" w:sz="0" w:space="0" w:color="auto"/>
        <w:bottom w:val="none" w:sz="0" w:space="0" w:color="auto"/>
        <w:right w:val="none" w:sz="0" w:space="0" w:color="auto"/>
      </w:divBdr>
    </w:div>
    <w:div w:id="525559302">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25549431">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23</cp:revision>
  <dcterms:created xsi:type="dcterms:W3CDTF">2017-04-27T13:14:00Z</dcterms:created>
  <dcterms:modified xsi:type="dcterms:W3CDTF">2017-07-06T13:23:00Z</dcterms:modified>
</cp:coreProperties>
</file>